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709C" w14:textId="77777777" w:rsidR="00347645" w:rsidRPr="00090E0F" w:rsidRDefault="00347645" w:rsidP="00E42BA1">
      <w:pPr>
        <w:tabs>
          <w:tab w:val="left" w:pos="5670"/>
        </w:tabs>
        <w:rPr>
          <w:highlight w:val="yellow"/>
        </w:rPr>
      </w:pPr>
      <w:r w:rsidRPr="00090E0F">
        <w:rPr>
          <w:highlight w:val="yellow"/>
        </w:rPr>
        <w:t>Nom</w:t>
      </w:r>
    </w:p>
    <w:p w14:paraId="5AD0D95A" w14:textId="77777777" w:rsidR="00347645" w:rsidRPr="00F72045" w:rsidRDefault="00347645">
      <w:pPr>
        <w:rPr>
          <w:highlight w:val="yellow"/>
        </w:rPr>
      </w:pPr>
      <w:r w:rsidRPr="00090E0F">
        <w:rPr>
          <w:highlight w:val="yellow"/>
        </w:rPr>
        <w:t>Adre</w:t>
      </w:r>
      <w:r w:rsidRPr="00F72045">
        <w:rPr>
          <w:highlight w:val="yellow"/>
        </w:rPr>
        <w:t>sse</w:t>
      </w:r>
    </w:p>
    <w:p w14:paraId="192F32E1" w14:textId="77777777" w:rsidR="00347645" w:rsidRPr="00F72045" w:rsidRDefault="00347645">
      <w:pPr>
        <w:rPr>
          <w:highlight w:val="yellow"/>
        </w:rPr>
      </w:pPr>
      <w:r w:rsidRPr="00F72045">
        <w:rPr>
          <w:highlight w:val="yellow"/>
        </w:rPr>
        <w:t>Code postal</w:t>
      </w:r>
    </w:p>
    <w:p w14:paraId="42BFABC5" w14:textId="5F5AF777" w:rsidR="00347645" w:rsidRDefault="00F72045">
      <w:r w:rsidRPr="00F72045">
        <w:rPr>
          <w:highlight w:val="yellow"/>
        </w:rPr>
        <w:t>PAYS</w:t>
      </w:r>
    </w:p>
    <w:p w14:paraId="4E2D69BA" w14:textId="77777777" w:rsidR="00347645" w:rsidRDefault="00347645"/>
    <w:p w14:paraId="7C0026C2" w14:textId="2684AB3A" w:rsidR="00573B74" w:rsidRDefault="00573B74" w:rsidP="00DC3610">
      <w:pPr>
        <w:tabs>
          <w:tab w:val="left" w:pos="3969"/>
        </w:tabs>
        <w:ind w:left="3969"/>
      </w:pPr>
      <w:r>
        <w:t>à :</w:t>
      </w:r>
    </w:p>
    <w:p w14:paraId="418D6AB5" w14:textId="1AC5711E" w:rsidR="00347645" w:rsidRDefault="00DC3610" w:rsidP="00DC3610">
      <w:pPr>
        <w:tabs>
          <w:tab w:val="left" w:pos="3969"/>
        </w:tabs>
      </w:pPr>
      <w:r>
        <w:tab/>
      </w:r>
      <w:r w:rsidR="00DC6D49">
        <w:t xml:space="preserve">FSMA </w:t>
      </w:r>
      <w:r>
        <w:t>-</w:t>
      </w:r>
      <w:r w:rsidR="00DC6D49">
        <w:t xml:space="preserve"> Autorité des services et marchés financiers</w:t>
      </w:r>
    </w:p>
    <w:p w14:paraId="69437BAA" w14:textId="77777777" w:rsidR="00DC6D49" w:rsidRDefault="00E42BA1" w:rsidP="00573B74">
      <w:pPr>
        <w:tabs>
          <w:tab w:val="left" w:pos="3969"/>
        </w:tabs>
      </w:pPr>
      <w:r>
        <w:tab/>
      </w:r>
      <w:r w:rsidR="00DC6D49">
        <w:t>Rue du congrès 12-14</w:t>
      </w:r>
    </w:p>
    <w:p w14:paraId="5CEC27C3" w14:textId="34BC2E8A" w:rsidR="00DC6D49" w:rsidRDefault="00E42BA1" w:rsidP="00573B74">
      <w:pPr>
        <w:tabs>
          <w:tab w:val="left" w:pos="3969"/>
        </w:tabs>
      </w:pPr>
      <w:r>
        <w:tab/>
      </w:r>
      <w:r w:rsidR="00DC6D49">
        <w:t>1000 Bruxelles</w:t>
      </w:r>
    </w:p>
    <w:p w14:paraId="6ABE391B" w14:textId="300CC27A" w:rsidR="00347645" w:rsidRDefault="00F72045" w:rsidP="00787DD4">
      <w:pPr>
        <w:tabs>
          <w:tab w:val="left" w:pos="3969"/>
        </w:tabs>
      </w:pPr>
      <w:r>
        <w:tab/>
        <w:t>BELGIQUE</w:t>
      </w:r>
    </w:p>
    <w:p w14:paraId="564B55C4" w14:textId="77777777" w:rsidR="00DC3610" w:rsidRDefault="00DC3610" w:rsidP="00787DD4">
      <w:pPr>
        <w:tabs>
          <w:tab w:val="left" w:pos="3969"/>
        </w:tabs>
      </w:pPr>
    </w:p>
    <w:p w14:paraId="1EA1B5C6" w14:textId="68E28D15" w:rsidR="00347645" w:rsidRDefault="00573B74" w:rsidP="00DC3610">
      <w:pPr>
        <w:tabs>
          <w:tab w:val="left" w:pos="3969"/>
        </w:tabs>
        <w:ind w:left="3969"/>
      </w:pPr>
      <w:r>
        <w:t>Copie :</w:t>
      </w:r>
    </w:p>
    <w:p w14:paraId="3CC73529" w14:textId="379CB2A7" w:rsidR="00347645" w:rsidRDefault="00DC3610" w:rsidP="00DC3610">
      <w:pPr>
        <w:tabs>
          <w:tab w:val="left" w:pos="3969"/>
        </w:tabs>
        <w:ind w:left="3969"/>
      </w:pPr>
      <w:r>
        <w:t>Conseil d’Administration de Tessenderlo</w:t>
      </w:r>
    </w:p>
    <w:p w14:paraId="565558E8" w14:textId="77777777" w:rsidR="00DC3610" w:rsidRDefault="00DC3610" w:rsidP="00DC3610">
      <w:pPr>
        <w:tabs>
          <w:tab w:val="left" w:pos="3969"/>
        </w:tabs>
        <w:ind w:left="3969"/>
      </w:pPr>
      <w:r>
        <w:t xml:space="preserve">Tessenderlo Group </w:t>
      </w:r>
      <w:proofErr w:type="spellStart"/>
      <w:r>
        <w:t>nv</w:t>
      </w:r>
      <w:proofErr w:type="spellEnd"/>
    </w:p>
    <w:p w14:paraId="2340AE19" w14:textId="77777777" w:rsidR="00DC3610" w:rsidRDefault="00DC3610" w:rsidP="00DC3610">
      <w:pPr>
        <w:tabs>
          <w:tab w:val="left" w:pos="3969"/>
        </w:tabs>
        <w:ind w:left="3969"/>
      </w:pPr>
      <w:proofErr w:type="spellStart"/>
      <w:r>
        <w:t>Troonstraat</w:t>
      </w:r>
      <w:proofErr w:type="spellEnd"/>
      <w:r>
        <w:t xml:space="preserve"> 130 Rue du Trône</w:t>
      </w:r>
    </w:p>
    <w:p w14:paraId="7529577F" w14:textId="1E62C47C" w:rsidR="00DC3610" w:rsidRDefault="00DC3610" w:rsidP="00DC3610">
      <w:pPr>
        <w:tabs>
          <w:tab w:val="left" w:pos="3969"/>
        </w:tabs>
        <w:ind w:left="3969"/>
      </w:pPr>
      <w:r>
        <w:t>1050 Brussels</w:t>
      </w:r>
    </w:p>
    <w:p w14:paraId="4E188DC1" w14:textId="21ECD9CB" w:rsidR="00F72045" w:rsidRDefault="0092583E" w:rsidP="00DC3610">
      <w:pPr>
        <w:tabs>
          <w:tab w:val="left" w:pos="3969"/>
        </w:tabs>
        <w:ind w:left="3969"/>
      </w:pPr>
      <w:r>
        <w:t>BELGIQUE</w:t>
      </w:r>
    </w:p>
    <w:p w14:paraId="52F31E21" w14:textId="43655EDC" w:rsidR="00F72045" w:rsidRDefault="00F72045" w:rsidP="00DC3610">
      <w:pPr>
        <w:tabs>
          <w:tab w:val="left" w:pos="3969"/>
        </w:tabs>
        <w:ind w:left="3969"/>
      </w:pPr>
    </w:p>
    <w:p w14:paraId="22F4FEE2" w14:textId="77777777" w:rsidR="00F72045" w:rsidRDefault="00F72045" w:rsidP="00DC3610">
      <w:pPr>
        <w:tabs>
          <w:tab w:val="left" w:pos="3969"/>
        </w:tabs>
        <w:ind w:left="3969"/>
      </w:pPr>
    </w:p>
    <w:p w14:paraId="1ABB5F84" w14:textId="77777777" w:rsidR="00DC3610" w:rsidRDefault="00787DD4" w:rsidP="00787DD4">
      <w:pPr>
        <w:tabs>
          <w:tab w:val="left" w:pos="3969"/>
        </w:tabs>
      </w:pPr>
      <w:r>
        <w:tab/>
      </w:r>
    </w:p>
    <w:p w14:paraId="414F43A1" w14:textId="659EDE19" w:rsidR="00847400" w:rsidRDefault="00787DD4" w:rsidP="00787DD4">
      <w:pPr>
        <w:tabs>
          <w:tab w:val="left" w:pos="3969"/>
        </w:tabs>
      </w:pPr>
      <w:r w:rsidRPr="00787DD4">
        <w:rPr>
          <w:highlight w:val="yellow"/>
        </w:rPr>
        <w:t>Lieu, date</w:t>
      </w:r>
    </w:p>
    <w:p w14:paraId="18E25A3F" w14:textId="77777777" w:rsidR="00787DD4" w:rsidRDefault="00787DD4"/>
    <w:p w14:paraId="634A8BD4" w14:textId="77777777" w:rsidR="00847400" w:rsidRDefault="00847400"/>
    <w:p w14:paraId="3DE32725" w14:textId="0CBA1301" w:rsidR="00847400" w:rsidRPr="00F26B6F" w:rsidRDefault="00847400">
      <w:pPr>
        <w:rPr>
          <w:b/>
        </w:rPr>
      </w:pPr>
      <w:r w:rsidRPr="00F26B6F">
        <w:rPr>
          <w:b/>
        </w:rPr>
        <w:t xml:space="preserve">Objet : </w:t>
      </w:r>
      <w:r w:rsidR="00573B74">
        <w:rPr>
          <w:b/>
        </w:rPr>
        <w:t>O</w:t>
      </w:r>
      <w:r w:rsidR="000F5FC9" w:rsidRPr="00F26B6F">
        <w:rPr>
          <w:b/>
        </w:rPr>
        <w:t>ffre publique</w:t>
      </w:r>
      <w:r w:rsidRPr="00F26B6F">
        <w:rPr>
          <w:b/>
        </w:rPr>
        <w:t xml:space="preserve"> d’échange de Tessenderlo </w:t>
      </w:r>
      <w:r w:rsidR="00516F28">
        <w:rPr>
          <w:b/>
        </w:rPr>
        <w:t>G</w:t>
      </w:r>
      <w:r w:rsidRPr="00F26B6F">
        <w:rPr>
          <w:b/>
        </w:rPr>
        <w:t>roup</w:t>
      </w:r>
      <w:r w:rsidR="00516F28">
        <w:rPr>
          <w:b/>
        </w:rPr>
        <w:t xml:space="preserve"> NV</w:t>
      </w:r>
      <w:r w:rsidRPr="00F26B6F">
        <w:rPr>
          <w:b/>
        </w:rPr>
        <w:t xml:space="preserve"> sur </w:t>
      </w:r>
      <w:proofErr w:type="spellStart"/>
      <w:r w:rsidRPr="00F26B6F">
        <w:rPr>
          <w:b/>
        </w:rPr>
        <w:t>Picanol</w:t>
      </w:r>
      <w:proofErr w:type="spellEnd"/>
      <w:r w:rsidR="00516F28">
        <w:rPr>
          <w:b/>
        </w:rPr>
        <w:t xml:space="preserve"> NV</w:t>
      </w:r>
    </w:p>
    <w:p w14:paraId="7367C205" w14:textId="77777777" w:rsidR="009A3A3D" w:rsidRDefault="009A3A3D"/>
    <w:p w14:paraId="6E8B1D3E" w14:textId="77777777" w:rsidR="00847400" w:rsidRDefault="00847400"/>
    <w:p w14:paraId="69EDD539" w14:textId="77777777" w:rsidR="00847400" w:rsidRDefault="00847400">
      <w:r>
        <w:t>Madame, Monsieur,</w:t>
      </w:r>
    </w:p>
    <w:p w14:paraId="6419D5BB" w14:textId="77777777" w:rsidR="00847400" w:rsidRDefault="00847400"/>
    <w:p w14:paraId="4E294199" w14:textId="77777777" w:rsidR="00847400" w:rsidRDefault="00847400"/>
    <w:p w14:paraId="1FC65C2E" w14:textId="29FD8A5E" w:rsidR="00847400" w:rsidRDefault="00847400" w:rsidP="006576E1">
      <w:pPr>
        <w:jc w:val="both"/>
      </w:pPr>
      <w:r>
        <w:t xml:space="preserve">Vous avez été notifié en date du 7 septembre 2022 de l’intention de </w:t>
      </w:r>
      <w:r w:rsidRPr="006576E1">
        <w:rPr>
          <w:b/>
        </w:rPr>
        <w:t>Tessenderlo Group NV</w:t>
      </w:r>
      <w:r w:rsidR="00AC7C79">
        <w:rPr>
          <w:b/>
        </w:rPr>
        <w:t xml:space="preserve"> </w:t>
      </w:r>
      <w:r w:rsidR="00AC7C79" w:rsidRPr="00AC7C79">
        <w:rPr>
          <w:bCs/>
        </w:rPr>
        <w:t>(Tessenderlo)</w:t>
      </w:r>
      <w:r w:rsidRPr="00AC7C79">
        <w:rPr>
          <w:bCs/>
        </w:rPr>
        <w:t>,</w:t>
      </w:r>
      <w:r>
        <w:t xml:space="preserve"> </w:t>
      </w:r>
      <w:r w:rsidRPr="00847400">
        <w:t>ayant son siège social à Rue du Trône 130, 1050 Ixelles</w:t>
      </w:r>
      <w:r w:rsidR="006576E1">
        <w:t xml:space="preserve">, de lancer une offre publique d’échange volontaire et conditionnelle sur les actions émises par </w:t>
      </w:r>
      <w:proofErr w:type="spellStart"/>
      <w:r w:rsidR="006576E1" w:rsidRPr="006576E1">
        <w:rPr>
          <w:b/>
        </w:rPr>
        <w:t>Picanol</w:t>
      </w:r>
      <w:proofErr w:type="spellEnd"/>
      <w:r w:rsidR="006576E1" w:rsidRPr="006576E1">
        <w:rPr>
          <w:b/>
        </w:rPr>
        <w:t xml:space="preserve"> NV</w:t>
      </w:r>
      <w:r w:rsidR="00AC7C79">
        <w:rPr>
          <w:b/>
        </w:rPr>
        <w:t xml:space="preserve"> </w:t>
      </w:r>
      <w:r w:rsidR="00AC7C79" w:rsidRPr="00AC7C79">
        <w:rPr>
          <w:bCs/>
        </w:rPr>
        <w:t>(</w:t>
      </w:r>
      <w:proofErr w:type="spellStart"/>
      <w:r w:rsidR="00AC7C79" w:rsidRPr="00AC7C79">
        <w:rPr>
          <w:bCs/>
        </w:rPr>
        <w:t>Picanol</w:t>
      </w:r>
      <w:proofErr w:type="spellEnd"/>
      <w:r w:rsidR="00AC7C79" w:rsidRPr="00AC7C79">
        <w:rPr>
          <w:bCs/>
        </w:rPr>
        <w:t>)</w:t>
      </w:r>
      <w:r w:rsidR="006576E1" w:rsidRPr="00AC7C79">
        <w:rPr>
          <w:bCs/>
        </w:rPr>
        <w:t>, ayant</w:t>
      </w:r>
      <w:r w:rsidR="006576E1" w:rsidRPr="00847400">
        <w:t xml:space="preserve"> son siège social à </w:t>
      </w:r>
      <w:proofErr w:type="spellStart"/>
      <w:r w:rsidR="006576E1" w:rsidRPr="00847400">
        <w:t>Steverlyncklaan</w:t>
      </w:r>
      <w:proofErr w:type="spellEnd"/>
      <w:r w:rsidR="006576E1" w:rsidRPr="00847400">
        <w:t xml:space="preserve"> 15, 8900 Ypres</w:t>
      </w:r>
      <w:r w:rsidR="006576E1">
        <w:t xml:space="preserve">. </w:t>
      </w:r>
    </w:p>
    <w:p w14:paraId="17CB2323" w14:textId="77777777" w:rsidR="008B241E" w:rsidRDefault="008B241E" w:rsidP="006576E1">
      <w:pPr>
        <w:jc w:val="both"/>
      </w:pPr>
    </w:p>
    <w:p w14:paraId="670FA1B2" w14:textId="74FCF6AA" w:rsidR="00021096" w:rsidRDefault="006576E1" w:rsidP="006576E1">
      <w:pPr>
        <w:jc w:val="both"/>
        <w:rPr>
          <w:b/>
        </w:rPr>
      </w:pPr>
      <w:r>
        <w:t>En tant qu’actionnaire</w:t>
      </w:r>
      <w:r w:rsidR="0010553F">
        <w:t xml:space="preserve"> individuel</w:t>
      </w:r>
      <w:r>
        <w:t xml:space="preserve"> de la société </w:t>
      </w:r>
      <w:r w:rsidRPr="00F804F5">
        <w:t xml:space="preserve">Tessenderlo </w:t>
      </w:r>
      <w:r w:rsidR="004A0A2B">
        <w:t>(</w:t>
      </w:r>
      <w:r w:rsidR="004A0A2B" w:rsidRPr="004A0A2B">
        <w:rPr>
          <w:highlight w:val="yellow"/>
        </w:rPr>
        <w:t>XXX</w:t>
      </w:r>
      <w:r w:rsidR="004A0A2B">
        <w:t xml:space="preserve"> </w:t>
      </w:r>
      <w:r w:rsidR="0079436B">
        <w:t>actions</w:t>
      </w:r>
      <w:r w:rsidR="004A0A2B">
        <w:t xml:space="preserve"> détenu</w:t>
      </w:r>
      <w:r w:rsidR="0079436B">
        <w:t>e</w:t>
      </w:r>
      <w:r w:rsidR="004A0A2B">
        <w:t>s)</w:t>
      </w:r>
      <w:r>
        <w:t>,</w:t>
      </w:r>
      <w:r w:rsidR="00B1174F">
        <w:t xml:space="preserve"> </w:t>
      </w:r>
      <w:r w:rsidR="000F5FC9">
        <w:t>je souhaite</w:t>
      </w:r>
      <w:r w:rsidR="00B1174F">
        <w:t xml:space="preserve"> attirer votre attention </w:t>
      </w:r>
      <w:r w:rsidR="003635B6">
        <w:t>sur le conflit d’intérêt sous-jacent</w:t>
      </w:r>
      <w:r w:rsidR="00645ED7">
        <w:t xml:space="preserve"> de cette offre</w:t>
      </w:r>
      <w:r w:rsidR="003635B6">
        <w:t xml:space="preserve"> </w:t>
      </w:r>
      <w:r w:rsidR="0080365E">
        <w:t xml:space="preserve">et sur l’inégalité </w:t>
      </w:r>
      <w:r w:rsidR="007D3D16">
        <w:t xml:space="preserve">manifeste </w:t>
      </w:r>
      <w:r w:rsidR="0080365E">
        <w:t xml:space="preserve">de traitement entre les actionnaires de </w:t>
      </w:r>
      <w:proofErr w:type="spellStart"/>
      <w:r w:rsidR="0080365E">
        <w:t>Picanol</w:t>
      </w:r>
      <w:proofErr w:type="spellEnd"/>
      <w:r w:rsidR="0080365E">
        <w:t xml:space="preserve"> et ceux de Tessenderlo </w:t>
      </w:r>
      <w:r w:rsidR="00A15356">
        <w:t>compte tenu</w:t>
      </w:r>
      <w:r w:rsidR="0080365E">
        <w:t xml:space="preserve"> du ratio d’échange </w:t>
      </w:r>
      <w:r w:rsidR="00645ED7">
        <w:t xml:space="preserve">de </w:t>
      </w:r>
      <w:r w:rsidR="00645ED7" w:rsidRPr="00A15356">
        <w:rPr>
          <w:b/>
        </w:rPr>
        <w:t>2,36</w:t>
      </w:r>
      <w:r w:rsidR="00645ED7">
        <w:t xml:space="preserve"> actions Tessenderlo pour 1 action </w:t>
      </w:r>
      <w:proofErr w:type="spellStart"/>
      <w:r w:rsidR="00645ED7">
        <w:t>Picanol</w:t>
      </w:r>
      <w:proofErr w:type="spellEnd"/>
      <w:r w:rsidR="00155097">
        <w:t>.</w:t>
      </w:r>
    </w:p>
    <w:p w14:paraId="5DBB1B67" w14:textId="77777777" w:rsidR="00021096" w:rsidRDefault="00021096" w:rsidP="006576E1">
      <w:pPr>
        <w:jc w:val="both"/>
      </w:pPr>
    </w:p>
    <w:p w14:paraId="6E173447" w14:textId="158574A8" w:rsidR="008D626D" w:rsidRPr="003635B6" w:rsidRDefault="008D626D" w:rsidP="006576E1">
      <w:pPr>
        <w:jc w:val="both"/>
      </w:pPr>
      <w:r w:rsidRPr="008D626D">
        <w:t>Le rapport</w:t>
      </w:r>
      <w:r w:rsidR="000A1DF4">
        <w:rPr>
          <w:rStyle w:val="Appelnotedebasdep"/>
        </w:rPr>
        <w:footnoteReference w:id="1"/>
      </w:r>
      <w:r w:rsidRPr="008D626D">
        <w:t xml:space="preserve"> sur la valorisation des deux groupes soulève</w:t>
      </w:r>
      <w:r w:rsidR="008B451D">
        <w:t xml:space="preserve"> </w:t>
      </w:r>
      <w:r w:rsidR="003635B6">
        <w:t>en effet plusieurs</w:t>
      </w:r>
      <w:r w:rsidRPr="008D626D">
        <w:t xml:space="preserve"> questions :</w:t>
      </w:r>
      <w:r>
        <w:rPr>
          <w:b/>
        </w:rPr>
        <w:t xml:space="preserve"> </w:t>
      </w:r>
    </w:p>
    <w:p w14:paraId="0B3D7D49" w14:textId="77777777" w:rsidR="006A40D6" w:rsidRDefault="006A40D6" w:rsidP="006576E1">
      <w:pPr>
        <w:jc w:val="both"/>
        <w:rPr>
          <w:b/>
        </w:rPr>
      </w:pPr>
    </w:p>
    <w:p w14:paraId="50FC05CD" w14:textId="595A337B" w:rsidR="006A40D6" w:rsidRDefault="006A40D6" w:rsidP="006576E1">
      <w:pPr>
        <w:jc w:val="both"/>
      </w:pPr>
      <w:r w:rsidRPr="006A40D6">
        <w:t xml:space="preserve">1. </w:t>
      </w:r>
      <w:r w:rsidR="003635B6">
        <w:t>Pour quelle(s) raison(s)</w:t>
      </w:r>
      <w:r w:rsidRPr="006A40D6">
        <w:t xml:space="preserve"> la société </w:t>
      </w:r>
      <w:proofErr w:type="spellStart"/>
      <w:r w:rsidRPr="00A15356">
        <w:rPr>
          <w:b/>
        </w:rPr>
        <w:t>Picanol</w:t>
      </w:r>
      <w:proofErr w:type="spellEnd"/>
      <w:r w:rsidRPr="00A15356">
        <w:rPr>
          <w:b/>
        </w:rPr>
        <w:t xml:space="preserve"> </w:t>
      </w:r>
      <w:r w:rsidRPr="006A40D6">
        <w:t xml:space="preserve">a-t-elle été valorisée sur </w:t>
      </w:r>
      <w:r w:rsidRPr="000F5FC9">
        <w:rPr>
          <w:u w:val="single"/>
        </w:rPr>
        <w:t>la seule méthode</w:t>
      </w:r>
      <w:r w:rsidRPr="006A40D6">
        <w:t xml:space="preserve"> de l’actualisation des flux de trésorerie futurs</w:t>
      </w:r>
      <w:r w:rsidR="00DE23EF">
        <w:t xml:space="preserve">, </w:t>
      </w:r>
      <w:r w:rsidR="00512949">
        <w:t>sachant que cette</w:t>
      </w:r>
      <w:r w:rsidR="00DE23EF">
        <w:t xml:space="preserve"> méthode </w:t>
      </w:r>
      <w:r w:rsidR="00512949">
        <w:t xml:space="preserve">est </w:t>
      </w:r>
      <w:r w:rsidR="007C772C">
        <w:t>particulièrement sensible aux hypothèses</w:t>
      </w:r>
      <w:r w:rsidR="00512949">
        <w:t xml:space="preserve"> de taux de croissance et de taux d’actualisation </w:t>
      </w:r>
      <w:r w:rsidR="007C772C">
        <w:t>?</w:t>
      </w:r>
      <w:r w:rsidRPr="006A40D6">
        <w:t> </w:t>
      </w:r>
      <w:r w:rsidR="007C772C">
        <w:t>Par ailleurs, p</w:t>
      </w:r>
      <w:r w:rsidR="003635B6">
        <w:t xml:space="preserve">ourquoi les </w:t>
      </w:r>
      <w:r w:rsidR="00DE23EF">
        <w:t>six</w:t>
      </w:r>
      <w:r w:rsidR="003635B6">
        <w:t xml:space="preserve"> méthodes de valorisation les plus </w:t>
      </w:r>
      <w:r w:rsidR="003635B6" w:rsidRPr="003635B6">
        <w:rPr>
          <w:u w:val="single"/>
        </w:rPr>
        <w:t>défavorables</w:t>
      </w:r>
      <w:r w:rsidR="003635B6">
        <w:t xml:space="preserve"> ont été exclues ?</w:t>
      </w:r>
    </w:p>
    <w:p w14:paraId="542C4E96" w14:textId="7475CF72" w:rsidR="007D3D16" w:rsidRDefault="003635B6" w:rsidP="006576E1">
      <w:pPr>
        <w:jc w:val="both"/>
      </w:pPr>
      <w:r>
        <w:lastRenderedPageBreak/>
        <w:t>2. Pour quelle(s) raison(s)</w:t>
      </w:r>
      <w:r w:rsidR="00A15356">
        <w:t xml:space="preserve"> </w:t>
      </w:r>
      <w:r>
        <w:t>les</w:t>
      </w:r>
      <w:r w:rsidR="00DE23EF">
        <w:t xml:space="preserve"> trois</w:t>
      </w:r>
      <w:r>
        <w:t xml:space="preserve"> méthodes les plus </w:t>
      </w:r>
      <w:r w:rsidRPr="003635B6">
        <w:rPr>
          <w:u w:val="single"/>
        </w:rPr>
        <w:t>favorables</w:t>
      </w:r>
      <w:r>
        <w:t xml:space="preserve"> à la valorisation de </w:t>
      </w:r>
      <w:r w:rsidRPr="00A15356">
        <w:rPr>
          <w:b/>
        </w:rPr>
        <w:t xml:space="preserve">Tessenderlo </w:t>
      </w:r>
      <w:r>
        <w:t>ont été exclues, en particulier celles portant sur les résultats annuels les plus récents (2021)</w:t>
      </w:r>
      <w:r w:rsidR="009A3A3D">
        <w:t> ?</w:t>
      </w:r>
    </w:p>
    <w:p w14:paraId="42CFA131" w14:textId="77777777" w:rsidR="004C2BAF" w:rsidRDefault="004C2BAF" w:rsidP="006576E1">
      <w:pPr>
        <w:jc w:val="both"/>
      </w:pPr>
    </w:p>
    <w:p w14:paraId="3267A054" w14:textId="77777777" w:rsidR="003635B6" w:rsidRDefault="004C2BAF" w:rsidP="000F5FC9">
      <w:r>
        <w:rPr>
          <w:noProof/>
        </w:rPr>
        <w:drawing>
          <wp:inline distT="0" distB="0" distL="0" distR="0" wp14:anchorId="10315EC4" wp14:editId="646DE3C0">
            <wp:extent cx="6035040" cy="392883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 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453" cy="393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E93F3" w14:textId="793A5AA3" w:rsidR="004C2BAF" w:rsidRPr="00573B74" w:rsidRDefault="00573B74" w:rsidP="00C74F73">
      <w:pPr>
        <w:jc w:val="center"/>
      </w:pPr>
      <w:r>
        <w:rPr>
          <w:b/>
          <w:bCs/>
        </w:rPr>
        <w:t>Graphique e</w:t>
      </w:r>
      <w:r w:rsidR="000F5FC9" w:rsidRPr="000F5FC9">
        <w:rPr>
          <w:b/>
          <w:bCs/>
        </w:rPr>
        <w:t>xtrait du rapport de fusion</w:t>
      </w:r>
      <w:r>
        <w:rPr>
          <w:b/>
          <w:bCs/>
        </w:rPr>
        <w:t xml:space="preserve"> </w:t>
      </w:r>
      <w:r w:rsidRPr="00573B74">
        <w:t>(annotation</w:t>
      </w:r>
      <w:r>
        <w:t>s</w:t>
      </w:r>
      <w:r w:rsidRPr="00573B74">
        <w:t xml:space="preserve"> en rouge</w:t>
      </w:r>
      <w:r>
        <w:t xml:space="preserve"> ajoutées</w:t>
      </w:r>
      <w:r w:rsidRPr="00573B74">
        <w:t>)</w:t>
      </w:r>
    </w:p>
    <w:p w14:paraId="2A8FE7A4" w14:textId="77777777" w:rsidR="000F5FC9" w:rsidRDefault="000F5FC9" w:rsidP="00C74F73">
      <w:pPr>
        <w:jc w:val="center"/>
      </w:pPr>
    </w:p>
    <w:p w14:paraId="0269461D" w14:textId="77777777" w:rsidR="000F5FC9" w:rsidRDefault="000F5FC9" w:rsidP="006576E1">
      <w:pPr>
        <w:jc w:val="both"/>
      </w:pPr>
    </w:p>
    <w:p w14:paraId="2EFEBE86" w14:textId="5EA8C352" w:rsidR="003635B6" w:rsidRDefault="003635B6" w:rsidP="006576E1">
      <w:pPr>
        <w:jc w:val="both"/>
      </w:pPr>
      <w:r>
        <w:t xml:space="preserve">3. </w:t>
      </w:r>
      <w:r w:rsidR="00645ED7">
        <w:t>C</w:t>
      </w:r>
      <w:r>
        <w:t>omment justifier le choix d’un taux sans risque de 1,36% (</w:t>
      </w:r>
      <w:r w:rsidRPr="003635B6">
        <w:t>moyenne des taux des obligations allemandes</w:t>
      </w:r>
      <w:r w:rsidR="001C3CF1">
        <w:t xml:space="preserve"> à 10 ans</w:t>
      </w:r>
      <w:r w:rsidRPr="003635B6">
        <w:t xml:space="preserve"> de 2012 à 2022</w:t>
      </w:r>
      <w:r>
        <w:t>) dans le modèle d’actualisation des flux de trésorerie</w:t>
      </w:r>
      <w:r w:rsidRPr="009A3A3D">
        <w:t xml:space="preserve"> futurs</w:t>
      </w:r>
      <w:r w:rsidR="00645ED7">
        <w:t>,</w:t>
      </w:r>
      <w:r w:rsidR="00155097">
        <w:t xml:space="preserve"> </w:t>
      </w:r>
      <w:r w:rsidR="00645ED7">
        <w:t xml:space="preserve">dans le contexte actuel de forte remontée des taux obligataires (le taux des obligations allemandes à 10 ans a dépassé la barre des 1,75% à la mi-septembre) </w:t>
      </w:r>
      <w:r w:rsidR="00DA4F9A">
        <w:t>?</w:t>
      </w:r>
      <w:r w:rsidR="001C3CF1">
        <w:t xml:space="preserve"> Notons que </w:t>
      </w:r>
      <w:r w:rsidR="001C3CF1" w:rsidRPr="00810A28">
        <w:rPr>
          <w:b/>
        </w:rPr>
        <w:t>ce choix</w:t>
      </w:r>
      <w:r w:rsidR="00021096">
        <w:rPr>
          <w:b/>
        </w:rPr>
        <w:t>, qui ne reflète pas l’environnement économique actuel,</w:t>
      </w:r>
      <w:r w:rsidR="001C3CF1" w:rsidRPr="00810A28">
        <w:rPr>
          <w:b/>
        </w:rPr>
        <w:t xml:space="preserve"> favorise directement </w:t>
      </w:r>
      <w:r w:rsidR="00810A28">
        <w:rPr>
          <w:b/>
        </w:rPr>
        <w:t xml:space="preserve">et significativement </w:t>
      </w:r>
      <w:r w:rsidR="001C3CF1" w:rsidRPr="00810A28">
        <w:rPr>
          <w:b/>
        </w:rPr>
        <w:t xml:space="preserve">une valorisation élevée de </w:t>
      </w:r>
      <w:proofErr w:type="spellStart"/>
      <w:r w:rsidR="001C3CF1" w:rsidRPr="00810A28">
        <w:rPr>
          <w:b/>
        </w:rPr>
        <w:t>Picanol</w:t>
      </w:r>
      <w:proofErr w:type="spellEnd"/>
      <w:r w:rsidR="001C3CF1" w:rsidRPr="00021096">
        <w:rPr>
          <w:b/>
        </w:rPr>
        <w:t xml:space="preserve">, </w:t>
      </w:r>
      <w:r w:rsidR="007C772C" w:rsidRPr="00021096">
        <w:rPr>
          <w:b/>
        </w:rPr>
        <w:t>puisque pour rappel</w:t>
      </w:r>
      <w:r w:rsidR="00810A28" w:rsidRPr="00021096">
        <w:rPr>
          <w:b/>
        </w:rPr>
        <w:t xml:space="preserve"> </w:t>
      </w:r>
      <w:r w:rsidR="007C772C" w:rsidRPr="00021096">
        <w:rPr>
          <w:b/>
        </w:rPr>
        <w:t xml:space="preserve">seule la méthode de l’actualisation des flux de trésorerie futurs a été retenue pour valoriser </w:t>
      </w:r>
      <w:r w:rsidR="00155097">
        <w:rPr>
          <w:b/>
        </w:rPr>
        <w:t>la société</w:t>
      </w:r>
      <w:r w:rsidR="00DE23EF" w:rsidRPr="00021096">
        <w:rPr>
          <w:b/>
        </w:rPr>
        <w:t>.</w:t>
      </w:r>
      <w:r w:rsidR="00DE23EF">
        <w:t xml:space="preserve"> </w:t>
      </w:r>
    </w:p>
    <w:p w14:paraId="7DDFEE12" w14:textId="77777777" w:rsidR="003635B6" w:rsidRDefault="003635B6" w:rsidP="006576E1">
      <w:pPr>
        <w:jc w:val="both"/>
      </w:pPr>
    </w:p>
    <w:p w14:paraId="0EB041B6" w14:textId="1D642623" w:rsidR="00645ED7" w:rsidRDefault="003635B6" w:rsidP="006576E1">
      <w:pPr>
        <w:jc w:val="both"/>
      </w:pPr>
      <w:r>
        <w:t xml:space="preserve">4. </w:t>
      </w:r>
      <w:r w:rsidR="000F5FC9">
        <w:t xml:space="preserve">Dans la valorisation </w:t>
      </w:r>
      <w:r w:rsidR="009B7940">
        <w:t xml:space="preserve">des flux de trésorerie futurs de l’activité T-Power de </w:t>
      </w:r>
      <w:r w:rsidR="000F5FC9" w:rsidRPr="000F5FC9">
        <w:rPr>
          <w:bCs/>
        </w:rPr>
        <w:t>Tessenderlo,</w:t>
      </w:r>
      <w:r w:rsidR="000F5FC9">
        <w:t xml:space="preserve"> au</w:t>
      </w:r>
      <w:r w:rsidR="00DE23EF">
        <w:t>cune valeur terminale n’a été allouée. Le management justifie ce choix par</w:t>
      </w:r>
      <w:r w:rsidR="00645ED7">
        <w:t> :</w:t>
      </w:r>
    </w:p>
    <w:p w14:paraId="19273DD9" w14:textId="77777777" w:rsidR="00645ED7" w:rsidRDefault="00645ED7" w:rsidP="00645ED7">
      <w:pPr>
        <w:jc w:val="both"/>
      </w:pPr>
    </w:p>
    <w:p w14:paraId="114C5C62" w14:textId="466AAB5B" w:rsidR="00645ED7" w:rsidRDefault="00DE23EF" w:rsidP="00645ED7">
      <w:pPr>
        <w:pStyle w:val="Paragraphedeliste"/>
        <w:numPr>
          <w:ilvl w:val="0"/>
          <w:numId w:val="7"/>
        </w:numPr>
        <w:ind w:left="1134"/>
        <w:jc w:val="both"/>
      </w:pPr>
      <w:r>
        <w:t>la montée des énergies renouvelables en Europe et</w:t>
      </w:r>
      <w:r w:rsidR="00645ED7">
        <w:t>,</w:t>
      </w:r>
      <w:r w:rsidR="007C01D6">
        <w:t xml:space="preserve"> </w:t>
      </w:r>
    </w:p>
    <w:p w14:paraId="3648D320" w14:textId="5DB7A4D8" w:rsidR="00F8619B" w:rsidRDefault="00DE23EF" w:rsidP="00645ED7">
      <w:pPr>
        <w:pStyle w:val="Paragraphedeliste"/>
        <w:numPr>
          <w:ilvl w:val="0"/>
          <w:numId w:val="7"/>
        </w:numPr>
        <w:ind w:left="1134"/>
        <w:jc w:val="both"/>
      </w:pPr>
      <w:r>
        <w:t>rappelle</w:t>
      </w:r>
      <w:r w:rsidR="007C01D6">
        <w:t xml:space="preserve"> qu’il s’est vu refuser la construction d’une 2</w:t>
      </w:r>
      <w:r w:rsidR="007C01D6" w:rsidRPr="00645ED7">
        <w:rPr>
          <w:vertAlign w:val="superscript"/>
        </w:rPr>
        <w:t>ème</w:t>
      </w:r>
      <w:r w:rsidR="007C01D6">
        <w:t xml:space="preserve"> centrale à gaz (T</w:t>
      </w:r>
      <w:r w:rsidR="00645ED7">
        <w:t>-</w:t>
      </w:r>
      <w:r w:rsidR="007C01D6">
        <w:t>Power</w:t>
      </w:r>
      <w:r w:rsidR="00645ED7">
        <w:t> </w:t>
      </w:r>
      <w:r w:rsidR="007C01D6">
        <w:t>II) en novembre dernier</w:t>
      </w:r>
      <w:r w:rsidR="00452848">
        <w:t xml:space="preserve"> (</w:t>
      </w:r>
      <w:r w:rsidR="00C74F73">
        <w:t>a</w:t>
      </w:r>
      <w:r w:rsidR="00452848">
        <w:t>nnexe 2</w:t>
      </w:r>
      <w:r w:rsidR="00C74F73">
        <w:t xml:space="preserve"> du rapport</w:t>
      </w:r>
      <w:r w:rsidR="00452848">
        <w:t>, page 9-10)</w:t>
      </w:r>
      <w:r w:rsidR="007C01D6">
        <w:t xml:space="preserve">. Entre temps, la société </w:t>
      </w:r>
      <w:r w:rsidR="00645ED7">
        <w:t xml:space="preserve">a </w:t>
      </w:r>
      <w:r w:rsidR="007C01D6">
        <w:t>fait part dans un communiqué du 16 septembre</w:t>
      </w:r>
      <w:r w:rsidR="00F8619B">
        <w:rPr>
          <w:rStyle w:val="Appelnotedebasdep"/>
        </w:rPr>
        <w:footnoteReference w:id="2"/>
      </w:r>
      <w:r w:rsidR="007C01D6">
        <w:t xml:space="preserve"> d’une décision favorable du gouvernement pour la construction de cette 2</w:t>
      </w:r>
      <w:r w:rsidR="007C01D6" w:rsidRPr="00645ED7">
        <w:rPr>
          <w:vertAlign w:val="superscript"/>
        </w:rPr>
        <w:t>ème</w:t>
      </w:r>
      <w:r w:rsidR="007C01D6">
        <w:t xml:space="preserve"> centrale.</w:t>
      </w:r>
    </w:p>
    <w:p w14:paraId="693BD718" w14:textId="77777777" w:rsidR="00645ED7" w:rsidRDefault="00645ED7" w:rsidP="00645ED7">
      <w:pPr>
        <w:pStyle w:val="Paragraphedeliste"/>
        <w:ind w:left="1134"/>
        <w:jc w:val="both"/>
      </w:pPr>
    </w:p>
    <w:p w14:paraId="10A418B3" w14:textId="10141A65" w:rsidR="009638A0" w:rsidRPr="00F8619B" w:rsidRDefault="007C01D6" w:rsidP="00F8619B">
      <w:pPr>
        <w:jc w:val="both"/>
        <w:rPr>
          <w:b/>
        </w:rPr>
      </w:pPr>
      <w:r w:rsidRPr="00794D2E">
        <w:rPr>
          <w:b/>
        </w:rPr>
        <w:t xml:space="preserve">L’argument (ii) perd </w:t>
      </w:r>
      <w:r w:rsidR="00452848" w:rsidRPr="00794D2E">
        <w:rPr>
          <w:b/>
        </w:rPr>
        <w:t>ainsi tout</w:t>
      </w:r>
      <w:r w:rsidRPr="00794D2E">
        <w:rPr>
          <w:b/>
        </w:rPr>
        <w:t xml:space="preserve"> son fondement.</w:t>
      </w:r>
      <w:r>
        <w:t xml:space="preserve"> </w:t>
      </w:r>
      <w:r w:rsidR="00452848">
        <w:t xml:space="preserve">L’argument (i) est </w:t>
      </w:r>
      <w:r w:rsidR="0080365E">
        <w:t xml:space="preserve">lui </w:t>
      </w:r>
      <w:r w:rsidR="00452848">
        <w:t xml:space="preserve">difficilement défendable au regard de la détermination du groupe à investir </w:t>
      </w:r>
      <w:r w:rsidR="002172FC">
        <w:t>environ</w:t>
      </w:r>
      <w:r w:rsidR="00452848">
        <w:t xml:space="preserve"> 500 millions € dans cette deuxième centrale. </w:t>
      </w:r>
      <w:r w:rsidR="002F5924" w:rsidRPr="00C12405">
        <w:rPr>
          <w:b/>
        </w:rPr>
        <w:t>Comment ne pas allouer de valeur terminale à l’activité T-Power</w:t>
      </w:r>
      <w:r w:rsidR="00442960">
        <w:rPr>
          <w:b/>
        </w:rPr>
        <w:t xml:space="preserve"> dans ces conditions</w:t>
      </w:r>
      <w:r w:rsidR="002F5924" w:rsidRPr="00C12405">
        <w:rPr>
          <w:b/>
        </w:rPr>
        <w:t> ?</w:t>
      </w:r>
    </w:p>
    <w:p w14:paraId="760E1F99" w14:textId="77777777" w:rsidR="00452848" w:rsidRPr="0071106E" w:rsidRDefault="00452848" w:rsidP="006576E1">
      <w:pPr>
        <w:jc w:val="both"/>
        <w:rPr>
          <w:b/>
        </w:rPr>
      </w:pPr>
    </w:p>
    <w:p w14:paraId="16DF3A3B" w14:textId="62E98646" w:rsidR="00C12405" w:rsidRDefault="006C7E6F" w:rsidP="00442960">
      <w:pPr>
        <w:jc w:val="both"/>
      </w:pPr>
      <w:r w:rsidRPr="006C7E6F">
        <w:t xml:space="preserve">5. Comment </w:t>
      </w:r>
      <w:r>
        <w:t xml:space="preserve">expliquer un biais </w:t>
      </w:r>
      <w:r w:rsidR="00A64E75">
        <w:t>résolument</w:t>
      </w:r>
      <w:r>
        <w:t xml:space="preserve"> pessimiste pour les projections d</w:t>
      </w:r>
      <w:r w:rsidR="00C12405">
        <w:t xml:space="preserve">e chiffre d’affaires et de </w:t>
      </w:r>
      <w:r w:rsidR="00442960">
        <w:t xml:space="preserve">marge </w:t>
      </w:r>
      <w:r w:rsidR="00C12405">
        <w:t xml:space="preserve">REBITDA </w:t>
      </w:r>
      <w:r w:rsidR="008D6375">
        <w:t>sur la période 2023 à 2031</w:t>
      </w:r>
      <w:r w:rsidR="00C12405">
        <w:t xml:space="preserve"> pour</w:t>
      </w:r>
      <w:r w:rsidR="00155097">
        <w:t xml:space="preserve"> les activités de</w:t>
      </w:r>
      <w:r w:rsidR="00C12405">
        <w:t xml:space="preserve"> Tessenderlo </w:t>
      </w:r>
      <w:r w:rsidR="008D6375">
        <w:t>et un biais beaucoup plus optimiste pour</w:t>
      </w:r>
      <w:r w:rsidR="00155097">
        <w:t xml:space="preserve"> les activités de</w:t>
      </w:r>
      <w:r w:rsidR="008D6375">
        <w:t xml:space="preserve"> </w:t>
      </w:r>
      <w:proofErr w:type="spellStart"/>
      <w:r w:rsidR="008D6375">
        <w:t>Picanol</w:t>
      </w:r>
      <w:proofErr w:type="spellEnd"/>
      <w:r w:rsidR="00155097">
        <w:t xml:space="preserve"> </w:t>
      </w:r>
      <w:r w:rsidR="008D6375">
        <w:t>?</w:t>
      </w:r>
    </w:p>
    <w:p w14:paraId="0CC9A767" w14:textId="77777777" w:rsidR="00442960" w:rsidRDefault="00442960" w:rsidP="00442960">
      <w:pPr>
        <w:jc w:val="both"/>
      </w:pPr>
    </w:p>
    <w:p w14:paraId="2F27D636" w14:textId="77777777" w:rsidR="00442960" w:rsidRDefault="00442960" w:rsidP="00C16847">
      <w:pPr>
        <w:jc w:val="center"/>
      </w:pPr>
      <w:r>
        <w:rPr>
          <w:noProof/>
        </w:rPr>
        <w:drawing>
          <wp:inline distT="0" distB="0" distL="0" distR="0" wp14:anchorId="02C002D6" wp14:editId="1B397C86">
            <wp:extent cx="5016844" cy="23296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2-09-19 à 18.05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999" cy="233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AD83" w14:textId="77777777" w:rsidR="00C16847" w:rsidRPr="00C16847" w:rsidRDefault="00C16847" w:rsidP="00C16847">
      <w:pPr>
        <w:jc w:val="center"/>
        <w:rPr>
          <w:sz w:val="13"/>
        </w:rPr>
      </w:pPr>
    </w:p>
    <w:p w14:paraId="267A308A" w14:textId="0D20670E" w:rsidR="00C16847" w:rsidRPr="00C16847" w:rsidRDefault="00C16847" w:rsidP="00C16847">
      <w:pPr>
        <w:jc w:val="center"/>
        <w:rPr>
          <w:b/>
          <w:sz w:val="22"/>
        </w:rPr>
      </w:pPr>
      <w:r w:rsidRPr="00C16847">
        <w:rPr>
          <w:b/>
          <w:sz w:val="22"/>
        </w:rPr>
        <w:t xml:space="preserve">Hypothèses d’évolution du chiffre d’affaires et la marge </w:t>
      </w:r>
      <w:r w:rsidR="009B7940">
        <w:rPr>
          <w:b/>
          <w:sz w:val="22"/>
        </w:rPr>
        <w:t>R</w:t>
      </w:r>
      <w:r w:rsidRPr="00C16847">
        <w:rPr>
          <w:b/>
          <w:sz w:val="22"/>
        </w:rPr>
        <w:t>EBITDA dans le modèle DCF</w:t>
      </w:r>
    </w:p>
    <w:p w14:paraId="38A4EF95" w14:textId="77777777" w:rsidR="00C16847" w:rsidRDefault="00C16847" w:rsidP="006576E1">
      <w:pPr>
        <w:jc w:val="both"/>
      </w:pPr>
    </w:p>
    <w:p w14:paraId="2A87EB9D" w14:textId="47FD7C10" w:rsidR="00C05C6C" w:rsidRDefault="00620084" w:rsidP="006576E1">
      <w:pPr>
        <w:jc w:val="both"/>
      </w:pPr>
      <w:r>
        <w:t xml:space="preserve">Les hypothèses retenues </w:t>
      </w:r>
      <w:r w:rsidR="00163D5D">
        <w:t>dans le</w:t>
      </w:r>
      <w:r w:rsidR="00C74F73">
        <w:t>s</w:t>
      </w:r>
      <w:r w:rsidR="00163D5D">
        <w:t xml:space="preserve"> modèle</w:t>
      </w:r>
      <w:r w:rsidR="00C74F73">
        <w:t>s</w:t>
      </w:r>
      <w:r w:rsidR="00163D5D">
        <w:t xml:space="preserve"> d’actualisation des flux de trésorerie</w:t>
      </w:r>
      <w:r w:rsidR="00B20E81">
        <w:t xml:space="preserve"> futurs</w:t>
      </w:r>
      <w:r w:rsidR="00163D5D">
        <w:t xml:space="preserve"> </w:t>
      </w:r>
      <w:r>
        <w:t xml:space="preserve">conduisent à </w:t>
      </w:r>
      <w:r w:rsidR="00163D5D">
        <w:t xml:space="preserve">une projection de </w:t>
      </w:r>
      <w:r w:rsidR="00C05C6C">
        <w:t>croissance</w:t>
      </w:r>
      <w:r w:rsidR="00810A28">
        <w:t xml:space="preserve"> du chiffre d’affaires</w:t>
      </w:r>
      <w:r w:rsidR="00C05C6C">
        <w:t xml:space="preserve"> </w:t>
      </w:r>
      <w:r w:rsidR="00A64E75">
        <w:t>de +</w:t>
      </w:r>
      <w:r w:rsidR="001375E9">
        <w:t>18</w:t>
      </w:r>
      <w:r w:rsidR="00A64E75">
        <w:t>% sur la période 202</w:t>
      </w:r>
      <w:r w:rsidR="001375E9">
        <w:t>3</w:t>
      </w:r>
      <w:r w:rsidR="00A257DF">
        <w:t xml:space="preserve"> à </w:t>
      </w:r>
      <w:r w:rsidR="00A64E75">
        <w:t>2031</w:t>
      </w:r>
      <w:r w:rsidR="00163D5D">
        <w:t xml:space="preserve"> pour </w:t>
      </w:r>
      <w:proofErr w:type="spellStart"/>
      <w:r w:rsidR="00163D5D">
        <w:t>Picanol</w:t>
      </w:r>
      <w:proofErr w:type="spellEnd"/>
      <w:r w:rsidR="00163D5D">
        <w:t xml:space="preserve"> contre </w:t>
      </w:r>
      <w:r w:rsidR="00810A28">
        <w:t>+</w:t>
      </w:r>
      <w:r w:rsidR="00163D5D">
        <w:t>7% pour Tessenderlo</w:t>
      </w:r>
      <w:r w:rsidR="00C05C6C">
        <w:t xml:space="preserve">. </w:t>
      </w:r>
      <w:r w:rsidR="00A257DF">
        <w:t>Ces</w:t>
      </w:r>
      <w:r w:rsidR="00C05C6C">
        <w:t xml:space="preserve"> projection</w:t>
      </w:r>
      <w:r w:rsidR="00A257DF">
        <w:t>s</w:t>
      </w:r>
      <w:r w:rsidR="00C05C6C">
        <w:t xml:space="preserve"> </w:t>
      </w:r>
      <w:r w:rsidR="00A257DF">
        <w:t>sont</w:t>
      </w:r>
      <w:r w:rsidR="00C05C6C">
        <w:t xml:space="preserve"> </w:t>
      </w:r>
      <w:r w:rsidR="00163D5D">
        <w:t>complétement en décalage avec la dynamique actuelle</w:t>
      </w:r>
      <w:r w:rsidR="00C05C6C">
        <w:t xml:space="preserve"> et les perspectives offertes par les développements </w:t>
      </w:r>
      <w:r w:rsidR="009B7940">
        <w:t xml:space="preserve">en cours et </w:t>
      </w:r>
      <w:r w:rsidR="00C05C6C">
        <w:t>à venir pour les activités de Tessenderlo</w:t>
      </w:r>
      <w:r w:rsidR="006F44F1">
        <w:t xml:space="preserve"> </w:t>
      </w:r>
      <w:r w:rsidR="00C05C6C">
        <w:t>(</w:t>
      </w:r>
      <w:r w:rsidR="00C16847">
        <w:t>a</w:t>
      </w:r>
      <w:r w:rsidR="00C05C6C">
        <w:t>nnexe 2</w:t>
      </w:r>
      <w:r w:rsidR="00C16847">
        <w:t xml:space="preserve"> du rapport,</w:t>
      </w:r>
      <w:r w:rsidR="00C05C6C">
        <w:t xml:space="preserve"> page 6 : hausse des CAPEX de Tessenderlo de 47% en 2022</w:t>
      </w:r>
      <w:r w:rsidR="00442960">
        <w:t xml:space="preserve"> </w:t>
      </w:r>
      <w:r w:rsidR="00C05C6C">
        <w:t xml:space="preserve">puis niveaux de CAPEX soutenus en 2023 et 2024, construction d’une nouvelle usine pour l’activité Agro, construction </w:t>
      </w:r>
      <w:r w:rsidR="006F44F1">
        <w:t xml:space="preserve">probable </w:t>
      </w:r>
      <w:r w:rsidR="00C05C6C">
        <w:t>d’une nouvelle centrale à gaz</w:t>
      </w:r>
      <w:r w:rsidR="006F44F1">
        <w:t xml:space="preserve"> suite à l’accord du 16 septembre</w:t>
      </w:r>
      <w:r w:rsidR="00C05C6C">
        <w:t>).</w:t>
      </w:r>
    </w:p>
    <w:p w14:paraId="3B66C0A0" w14:textId="77777777" w:rsidR="00C05C6C" w:rsidRDefault="00C05C6C" w:rsidP="006576E1">
      <w:pPr>
        <w:jc w:val="both"/>
      </w:pPr>
    </w:p>
    <w:p w14:paraId="6FF884C0" w14:textId="426556AE" w:rsidR="003F2C21" w:rsidRDefault="0080365E" w:rsidP="006576E1">
      <w:pPr>
        <w:jc w:val="both"/>
      </w:pPr>
      <w:r>
        <w:t>Aussi</w:t>
      </w:r>
      <w:r w:rsidR="003F2C21">
        <w:t>,</w:t>
      </w:r>
      <w:r w:rsidR="00C326F0">
        <w:t xml:space="preserve"> comment </w:t>
      </w:r>
      <w:r w:rsidR="006F44F1">
        <w:t>raisonnablement</w:t>
      </w:r>
      <w:r w:rsidR="00021096">
        <w:t xml:space="preserve"> accepter</w:t>
      </w:r>
      <w:r w:rsidR="00C326F0">
        <w:t xml:space="preserve"> une </w:t>
      </w:r>
      <w:r w:rsidR="00A257DF">
        <w:t>hypothèse</w:t>
      </w:r>
      <w:r w:rsidR="00C326F0">
        <w:t xml:space="preserve"> </w:t>
      </w:r>
      <w:r w:rsidR="001375E9">
        <w:t>de progression de</w:t>
      </w:r>
      <w:r w:rsidR="00243D20">
        <w:t xml:space="preserve"> </w:t>
      </w:r>
      <w:r w:rsidR="0062708A" w:rsidRPr="00A257DF">
        <w:t>+</w:t>
      </w:r>
      <w:r w:rsidR="00C326F0" w:rsidRPr="00A257DF">
        <w:t>7,4 points</w:t>
      </w:r>
      <w:r w:rsidR="00C326F0">
        <w:t xml:space="preserve"> </w:t>
      </w:r>
      <w:r w:rsidR="001375E9">
        <w:t xml:space="preserve">de la marge REBITDA </w:t>
      </w:r>
      <w:r w:rsidR="003F2C21">
        <w:t xml:space="preserve">pour </w:t>
      </w:r>
      <w:proofErr w:type="spellStart"/>
      <w:r w:rsidR="003F2C21">
        <w:t>Picanol</w:t>
      </w:r>
      <w:proofErr w:type="spellEnd"/>
      <w:r w:rsidR="003F2C21">
        <w:t xml:space="preserve"> </w:t>
      </w:r>
      <w:r w:rsidR="001375E9">
        <w:t>entre 2022 et 2031</w:t>
      </w:r>
      <w:r w:rsidR="006F44F1">
        <w:t>,</w:t>
      </w:r>
      <w:r w:rsidR="00C326F0">
        <w:t xml:space="preserve"> contre</w:t>
      </w:r>
      <w:r w:rsidR="001375E9">
        <w:t xml:space="preserve"> une</w:t>
      </w:r>
      <w:r w:rsidR="00C326F0">
        <w:t xml:space="preserve"> </w:t>
      </w:r>
      <w:r w:rsidR="00A257DF">
        <w:t>hypothès</w:t>
      </w:r>
      <w:r w:rsidR="00A257DF" w:rsidRPr="00A257DF">
        <w:t>e</w:t>
      </w:r>
      <w:r w:rsidR="001375E9" w:rsidRPr="00A257DF">
        <w:t xml:space="preserve"> de</w:t>
      </w:r>
      <w:r w:rsidR="00C326F0" w:rsidRPr="00A257DF">
        <w:t xml:space="preserve"> baisse de 3,4</w:t>
      </w:r>
      <w:r w:rsidR="006F44F1" w:rsidRPr="00A257DF">
        <w:t> </w:t>
      </w:r>
      <w:r w:rsidR="00C326F0" w:rsidRPr="00A257DF">
        <w:t xml:space="preserve">points </w:t>
      </w:r>
      <w:r w:rsidR="00A257DF">
        <w:t>de</w:t>
      </w:r>
      <w:r w:rsidR="00C326F0" w:rsidRPr="00A257DF">
        <w:t xml:space="preserve"> </w:t>
      </w:r>
      <w:r>
        <w:t xml:space="preserve">la marge </w:t>
      </w:r>
      <w:r w:rsidR="00243D20">
        <w:t xml:space="preserve">REBITDA </w:t>
      </w:r>
      <w:r w:rsidR="001375E9">
        <w:t>pour</w:t>
      </w:r>
      <w:r>
        <w:t xml:space="preserve"> </w:t>
      </w:r>
      <w:r w:rsidR="00C326F0">
        <w:t xml:space="preserve">Tessenderlo </w:t>
      </w:r>
      <w:r w:rsidR="001375E9">
        <w:t xml:space="preserve">sur la même période </w:t>
      </w:r>
      <w:r w:rsidR="003F2C21">
        <w:t>?</w:t>
      </w:r>
      <w:r w:rsidR="00C326F0">
        <w:t xml:space="preserve"> </w:t>
      </w:r>
    </w:p>
    <w:p w14:paraId="2C09B6A8" w14:textId="77777777" w:rsidR="003F2C21" w:rsidRDefault="003F2C21" w:rsidP="006576E1">
      <w:pPr>
        <w:jc w:val="both"/>
      </w:pPr>
    </w:p>
    <w:p w14:paraId="0BB11D15" w14:textId="4A4A52FA" w:rsidR="003F2C21" w:rsidRDefault="003F2C21" w:rsidP="006576E1">
      <w:pPr>
        <w:jc w:val="both"/>
        <w:rPr>
          <w:b/>
        </w:rPr>
      </w:pPr>
      <w:r>
        <w:t>E</w:t>
      </w:r>
      <w:r w:rsidR="0080365E">
        <w:t>nfin et surtout</w:t>
      </w:r>
      <w:r>
        <w:t xml:space="preserve">, </w:t>
      </w:r>
      <w:r w:rsidRPr="0080365E">
        <w:rPr>
          <w:b/>
        </w:rPr>
        <w:t xml:space="preserve">comment </w:t>
      </w:r>
      <w:r w:rsidR="00021096">
        <w:rPr>
          <w:b/>
        </w:rPr>
        <w:t>justifier</w:t>
      </w:r>
      <w:r w:rsidRPr="0080365E">
        <w:rPr>
          <w:b/>
        </w:rPr>
        <w:t xml:space="preserve"> que </w:t>
      </w:r>
      <w:r w:rsidR="0080365E" w:rsidRPr="0080365E">
        <w:rPr>
          <w:b/>
        </w:rPr>
        <w:t xml:space="preserve">la société </w:t>
      </w:r>
      <w:proofErr w:type="spellStart"/>
      <w:r w:rsidRPr="0080365E">
        <w:rPr>
          <w:b/>
        </w:rPr>
        <w:t>Picanol</w:t>
      </w:r>
      <w:proofErr w:type="spellEnd"/>
      <w:r w:rsidRPr="0080365E">
        <w:rPr>
          <w:b/>
        </w:rPr>
        <w:t xml:space="preserve"> soit valorisé</w:t>
      </w:r>
      <w:r w:rsidR="0080365E" w:rsidRPr="0080365E">
        <w:rPr>
          <w:b/>
        </w:rPr>
        <w:t>e</w:t>
      </w:r>
      <w:r w:rsidRPr="0080365E">
        <w:rPr>
          <w:b/>
        </w:rPr>
        <w:t xml:space="preserve"> sur la seule </w:t>
      </w:r>
      <w:r w:rsidR="00B20E81">
        <w:rPr>
          <w:b/>
        </w:rPr>
        <w:t xml:space="preserve">et unique </w:t>
      </w:r>
      <w:r w:rsidRPr="0080365E">
        <w:rPr>
          <w:b/>
        </w:rPr>
        <w:t xml:space="preserve">base d’un modèle qui repose </w:t>
      </w:r>
      <w:r w:rsidR="00243D20">
        <w:rPr>
          <w:b/>
        </w:rPr>
        <w:t>principalement</w:t>
      </w:r>
      <w:r w:rsidRPr="0080365E">
        <w:rPr>
          <w:b/>
        </w:rPr>
        <w:t xml:space="preserve"> sur </w:t>
      </w:r>
      <w:r w:rsidR="0080365E" w:rsidRPr="0080365E">
        <w:rPr>
          <w:b/>
        </w:rPr>
        <w:t>d</w:t>
      </w:r>
      <w:r w:rsidRPr="0080365E">
        <w:rPr>
          <w:b/>
        </w:rPr>
        <w:t xml:space="preserve">es </w:t>
      </w:r>
      <w:r w:rsidR="000A3809">
        <w:rPr>
          <w:b/>
        </w:rPr>
        <w:t>prévisions</w:t>
      </w:r>
      <w:r w:rsidRPr="0080365E">
        <w:rPr>
          <w:b/>
        </w:rPr>
        <w:t xml:space="preserve"> du management, </w:t>
      </w:r>
      <w:r w:rsidR="00B20E81">
        <w:rPr>
          <w:b/>
        </w:rPr>
        <w:t xml:space="preserve">avec toute la part de subjectivité que cela implique, </w:t>
      </w:r>
      <w:r w:rsidRPr="0080365E">
        <w:rPr>
          <w:b/>
        </w:rPr>
        <w:t xml:space="preserve">au regard du conflit d’intérêt </w:t>
      </w:r>
      <w:r w:rsidR="00231F4D">
        <w:rPr>
          <w:b/>
        </w:rPr>
        <w:t>patent</w:t>
      </w:r>
      <w:r w:rsidR="00B20E81">
        <w:rPr>
          <w:b/>
        </w:rPr>
        <w:t xml:space="preserve"> </w:t>
      </w:r>
      <w:r w:rsidR="0080365E" w:rsidRPr="0080365E">
        <w:rPr>
          <w:b/>
        </w:rPr>
        <w:t>entre</w:t>
      </w:r>
      <w:r w:rsidRPr="0080365E">
        <w:rPr>
          <w:b/>
        </w:rPr>
        <w:t xml:space="preserve"> d’un côté les actionnaires de </w:t>
      </w:r>
      <w:proofErr w:type="spellStart"/>
      <w:r w:rsidRPr="0080365E">
        <w:rPr>
          <w:b/>
        </w:rPr>
        <w:t>Picanol</w:t>
      </w:r>
      <w:proofErr w:type="spellEnd"/>
      <w:r w:rsidRPr="0080365E">
        <w:rPr>
          <w:b/>
        </w:rPr>
        <w:t xml:space="preserve">, </w:t>
      </w:r>
      <w:r w:rsidR="00442960">
        <w:rPr>
          <w:b/>
        </w:rPr>
        <w:t>en particulier</w:t>
      </w:r>
      <w:r w:rsidR="00231F4D">
        <w:rPr>
          <w:b/>
        </w:rPr>
        <w:t xml:space="preserve"> </w:t>
      </w:r>
      <w:r w:rsidRPr="0080365E">
        <w:rPr>
          <w:b/>
        </w:rPr>
        <w:t xml:space="preserve">M. Luc </w:t>
      </w:r>
      <w:proofErr w:type="spellStart"/>
      <w:r w:rsidRPr="0080365E">
        <w:rPr>
          <w:b/>
        </w:rPr>
        <w:t>Tack</w:t>
      </w:r>
      <w:proofErr w:type="spellEnd"/>
      <w:r w:rsidRPr="0080365E">
        <w:rPr>
          <w:b/>
        </w:rPr>
        <w:t xml:space="preserve">, actionnaire majoritaire de </w:t>
      </w:r>
      <w:proofErr w:type="spellStart"/>
      <w:r w:rsidRPr="0080365E">
        <w:rPr>
          <w:b/>
        </w:rPr>
        <w:t>Picanol</w:t>
      </w:r>
      <w:proofErr w:type="spellEnd"/>
      <w:r w:rsidR="00573B74">
        <w:rPr>
          <w:b/>
        </w:rPr>
        <w:t xml:space="preserve"> </w:t>
      </w:r>
      <w:r w:rsidRPr="0080365E">
        <w:rPr>
          <w:b/>
        </w:rPr>
        <w:t>qui détient indirectement 89,47% du capital, et de l’autre les actionnaires minoritaires de Tessenderlo</w:t>
      </w:r>
      <w:r w:rsidR="00AC7C79">
        <w:rPr>
          <w:b/>
        </w:rPr>
        <w:t xml:space="preserve"> </w:t>
      </w:r>
      <w:r w:rsidR="00C04E91">
        <w:rPr>
          <w:b/>
        </w:rPr>
        <w:t>?</w:t>
      </w:r>
    </w:p>
    <w:p w14:paraId="6134BC77" w14:textId="77777777" w:rsidR="00155097" w:rsidRDefault="00155097" w:rsidP="00AC7C79">
      <w:pPr>
        <w:jc w:val="both"/>
        <w:rPr>
          <w:b/>
        </w:rPr>
      </w:pPr>
    </w:p>
    <w:p w14:paraId="0D5D087E" w14:textId="315379F8" w:rsidR="00F8619B" w:rsidRPr="00AC7C79" w:rsidRDefault="00F8619B" w:rsidP="00AC7C79">
      <w:pPr>
        <w:jc w:val="both"/>
        <w:rPr>
          <w:bCs/>
        </w:rPr>
      </w:pPr>
      <w:r w:rsidRPr="00800FE2">
        <w:rPr>
          <w:bCs/>
        </w:rPr>
        <w:lastRenderedPageBreak/>
        <w:t xml:space="preserve">Les excellents résultats semestriels </w:t>
      </w:r>
      <w:r w:rsidR="00800FE2" w:rsidRPr="00800FE2">
        <w:rPr>
          <w:bCs/>
        </w:rPr>
        <w:t xml:space="preserve">arrêtés au 30 juin 2022 </w:t>
      </w:r>
      <w:r w:rsidR="00DC3610">
        <w:rPr>
          <w:bCs/>
        </w:rPr>
        <w:t xml:space="preserve">- </w:t>
      </w:r>
      <w:r w:rsidR="00800FE2" w:rsidRPr="00800FE2">
        <w:rPr>
          <w:bCs/>
        </w:rPr>
        <w:t xml:space="preserve">la presse financière belge a </w:t>
      </w:r>
      <w:r w:rsidR="00155097">
        <w:rPr>
          <w:bCs/>
        </w:rPr>
        <w:t>salué</w:t>
      </w:r>
      <w:r w:rsidR="00800FE2" w:rsidRPr="00800FE2">
        <w:rPr>
          <w:bCs/>
        </w:rPr>
        <w:t xml:space="preserve"> cette publication</w:t>
      </w:r>
      <w:r w:rsidR="0071106E">
        <w:rPr>
          <w:bCs/>
        </w:rPr>
        <w:t> :</w:t>
      </w:r>
      <w:r w:rsidR="00800FE2" w:rsidRPr="00800FE2">
        <w:rPr>
          <w:bCs/>
        </w:rPr>
        <w:t xml:space="preserve"> </w:t>
      </w:r>
      <w:r w:rsidR="00800FE2">
        <w:rPr>
          <w:bCs/>
        </w:rPr>
        <w:t>« </w:t>
      </w:r>
      <w:r w:rsidR="00800FE2" w:rsidRPr="00800FE2">
        <w:rPr>
          <w:bCs/>
        </w:rPr>
        <w:t>Tessenderlo se prépare à récolter une nouvelle année record</w:t>
      </w:r>
      <w:r w:rsidR="00800FE2">
        <w:rPr>
          <w:rStyle w:val="Appelnotedebasdep"/>
          <w:bCs/>
        </w:rPr>
        <w:footnoteReference w:id="3"/>
      </w:r>
      <w:r w:rsidR="00800FE2">
        <w:rPr>
          <w:bCs/>
        </w:rPr>
        <w:t> »</w:t>
      </w:r>
      <w:r w:rsidR="00DC3610">
        <w:rPr>
          <w:bCs/>
        </w:rPr>
        <w:t xml:space="preserve"> -</w:t>
      </w:r>
      <w:r w:rsidR="00800FE2">
        <w:rPr>
          <w:bCs/>
        </w:rPr>
        <w:t xml:space="preserve"> vont dans ce sens d</w:t>
      </w:r>
      <w:r w:rsidR="0071106E">
        <w:rPr>
          <w:bCs/>
        </w:rPr>
        <w:t>’une</w:t>
      </w:r>
      <w:r w:rsidR="00800FE2">
        <w:rPr>
          <w:bCs/>
        </w:rPr>
        <w:t xml:space="preserve"> sous-estimation des résultats futurs de Tessenderlo. </w:t>
      </w:r>
      <w:r w:rsidR="00155097">
        <w:rPr>
          <w:bCs/>
        </w:rPr>
        <w:t>Ils</w:t>
      </w:r>
      <w:r w:rsidR="00800FE2">
        <w:rPr>
          <w:bCs/>
        </w:rPr>
        <w:t xml:space="preserve"> ont d’ailleurs </w:t>
      </w:r>
      <w:r w:rsidR="009B7940">
        <w:rPr>
          <w:bCs/>
        </w:rPr>
        <w:t>contraint</w:t>
      </w:r>
      <w:r w:rsidR="00800FE2">
        <w:rPr>
          <w:bCs/>
        </w:rPr>
        <w:t xml:space="preserve"> l’expert à revoir le ratio d’échange  </w:t>
      </w:r>
      <w:r w:rsidR="00466154">
        <w:rPr>
          <w:bCs/>
        </w:rPr>
        <w:t xml:space="preserve">(cf. communiqué du </w:t>
      </w:r>
      <w:r w:rsidR="00800FE2">
        <w:rPr>
          <w:bCs/>
        </w:rPr>
        <w:t>7 septembre 2022</w:t>
      </w:r>
      <w:r w:rsidR="00800FE2">
        <w:rPr>
          <w:rStyle w:val="Appelnotedebasdep"/>
          <w:bCs/>
        </w:rPr>
        <w:footnoteReference w:id="4"/>
      </w:r>
      <w:r w:rsidR="00466154">
        <w:rPr>
          <w:bCs/>
        </w:rPr>
        <w:t xml:space="preserve">). Il est désormais un peu moins défavorable aux actionnaires de Tessenderlo avec un ajustement de </w:t>
      </w:r>
      <w:r w:rsidR="00466154" w:rsidRPr="00466154">
        <w:rPr>
          <w:b/>
          <w:bCs/>
        </w:rPr>
        <w:t>2,43</w:t>
      </w:r>
      <w:r w:rsidR="00466154">
        <w:rPr>
          <w:bCs/>
        </w:rPr>
        <w:t xml:space="preserve"> à </w:t>
      </w:r>
      <w:r w:rsidR="00466154" w:rsidRPr="00466154">
        <w:rPr>
          <w:b/>
          <w:bCs/>
        </w:rPr>
        <w:t>2,36</w:t>
      </w:r>
      <w:r w:rsidR="00466154">
        <w:rPr>
          <w:bCs/>
        </w:rPr>
        <w:t xml:space="preserve"> actions Tessenderlo pour 1 action </w:t>
      </w:r>
      <w:proofErr w:type="spellStart"/>
      <w:r w:rsidR="00466154">
        <w:rPr>
          <w:bCs/>
        </w:rPr>
        <w:t>Picanol</w:t>
      </w:r>
      <w:proofErr w:type="spellEnd"/>
      <w:r w:rsidR="00276E23">
        <w:rPr>
          <w:bCs/>
        </w:rPr>
        <w:t xml:space="preserve">, mais il ne </w:t>
      </w:r>
      <w:r w:rsidR="00242DA1">
        <w:rPr>
          <w:bCs/>
        </w:rPr>
        <w:t xml:space="preserve">reflète toujours </w:t>
      </w:r>
      <w:r w:rsidR="00155097">
        <w:rPr>
          <w:bCs/>
        </w:rPr>
        <w:t>pas la juste valeur des deux groupes.</w:t>
      </w:r>
      <w:r w:rsidR="00276E23">
        <w:rPr>
          <w:bCs/>
        </w:rPr>
        <w:t xml:space="preserve"> </w:t>
      </w:r>
      <w:r w:rsidR="00466154">
        <w:rPr>
          <w:bCs/>
        </w:rPr>
        <w:t xml:space="preserve"> </w:t>
      </w:r>
    </w:p>
    <w:p w14:paraId="24B55E23" w14:textId="77777777" w:rsidR="001375E9" w:rsidRPr="00AC7C79" w:rsidRDefault="001375E9" w:rsidP="006576E1">
      <w:pPr>
        <w:jc w:val="both"/>
      </w:pPr>
    </w:p>
    <w:p w14:paraId="5CE91E55" w14:textId="46E7A608" w:rsidR="001375E9" w:rsidRDefault="001375E9" w:rsidP="006576E1">
      <w:pPr>
        <w:jc w:val="both"/>
      </w:pPr>
      <w:r>
        <w:t xml:space="preserve">Il </w:t>
      </w:r>
      <w:r w:rsidR="00021096">
        <w:t>est</w:t>
      </w:r>
      <w:r>
        <w:t xml:space="preserve"> possible de valoriser</w:t>
      </w:r>
      <w:r w:rsidR="00A15356">
        <w:t xml:space="preserve"> </w:t>
      </w:r>
      <w:r w:rsidR="00A15356" w:rsidRPr="00F8619B">
        <w:rPr>
          <w:u w:val="single"/>
        </w:rPr>
        <w:t>objectivement</w:t>
      </w:r>
      <w:r>
        <w:t xml:space="preserve"> </w:t>
      </w:r>
      <w:proofErr w:type="spellStart"/>
      <w:r w:rsidR="00155097">
        <w:t>Picanol</w:t>
      </w:r>
      <w:proofErr w:type="spellEnd"/>
      <w:r w:rsidR="00155097">
        <w:t xml:space="preserve"> et Tessenderlo </w:t>
      </w:r>
      <w:r>
        <w:t xml:space="preserve">sur la base </w:t>
      </w:r>
      <w:r w:rsidR="00745F9C">
        <w:t xml:space="preserve">de </w:t>
      </w:r>
      <w:r>
        <w:t>la moyenne de leur EBITDA ajusté des 4 dernières années (</w:t>
      </w:r>
      <w:r w:rsidR="0084681A">
        <w:t xml:space="preserve">l’EBITDA ajusté est le </w:t>
      </w:r>
      <w:r w:rsidRPr="00C71077">
        <w:t xml:space="preserve">principal </w:t>
      </w:r>
      <w:r>
        <w:t xml:space="preserve">indicateur utilisé </w:t>
      </w:r>
      <w:r w:rsidR="00A257DF">
        <w:t xml:space="preserve">par </w:t>
      </w:r>
      <w:proofErr w:type="spellStart"/>
      <w:r w:rsidR="00021096">
        <w:t>Picanol</w:t>
      </w:r>
      <w:proofErr w:type="spellEnd"/>
      <w:r w:rsidR="00021096">
        <w:t xml:space="preserve">  et Tessenderlo </w:t>
      </w:r>
      <w:r>
        <w:t xml:space="preserve">pour communiquer sur </w:t>
      </w:r>
      <w:r w:rsidR="00021096">
        <w:t>leur</w:t>
      </w:r>
      <w:r>
        <w:t xml:space="preserve"> rentabilité)</w:t>
      </w:r>
      <w:r w:rsidR="00745F9C">
        <w:t>.</w:t>
      </w:r>
    </w:p>
    <w:p w14:paraId="763D96DD" w14:textId="77777777" w:rsidR="00745F9C" w:rsidRDefault="00745F9C" w:rsidP="006576E1">
      <w:pPr>
        <w:jc w:val="both"/>
      </w:pPr>
    </w:p>
    <w:p w14:paraId="33D1A362" w14:textId="649BD243" w:rsidR="00745F9C" w:rsidRDefault="00745F9C" w:rsidP="006576E1">
      <w:pPr>
        <w:jc w:val="both"/>
      </w:pPr>
      <w:r>
        <w:t>Cette méthode, qui contrairement à l’actualisation des flux de trésorerie futurs</w:t>
      </w:r>
      <w:r w:rsidR="00F8619B">
        <w:t>,</w:t>
      </w:r>
      <w:r>
        <w:t xml:space="preserve"> ne repose sur aucune hypothèse arbitraire, conduit à un ratio d’échange de </w:t>
      </w:r>
      <w:r w:rsidRPr="00745F9C">
        <w:rPr>
          <w:b/>
        </w:rPr>
        <w:t>1,9</w:t>
      </w:r>
      <w:r w:rsidR="00A15356">
        <w:rPr>
          <w:b/>
        </w:rPr>
        <w:t>5</w:t>
      </w:r>
      <w:r>
        <w:t xml:space="preserve">. En effet : </w:t>
      </w:r>
    </w:p>
    <w:p w14:paraId="0C75AD43" w14:textId="77777777" w:rsidR="00745F9C" w:rsidRDefault="00745F9C" w:rsidP="006576E1">
      <w:pPr>
        <w:jc w:val="both"/>
      </w:pPr>
    </w:p>
    <w:p w14:paraId="1984A1D5" w14:textId="1DFB1B07" w:rsidR="00745F9C" w:rsidRPr="00285B50" w:rsidRDefault="00745F9C" w:rsidP="00745F9C">
      <w:pPr>
        <w:jc w:val="both"/>
      </w:pPr>
      <w:r>
        <w:t xml:space="preserve">a) l’activité </w:t>
      </w:r>
      <w:r w:rsidRPr="00285B50">
        <w:t xml:space="preserve">Machines </w:t>
      </w:r>
      <w:r>
        <w:t>&amp;</w:t>
      </w:r>
      <w:r w:rsidRPr="00285B50">
        <w:t xml:space="preserve"> Technologies de </w:t>
      </w:r>
      <w:proofErr w:type="spellStart"/>
      <w:r w:rsidRPr="00285B50">
        <w:t>Picanol</w:t>
      </w:r>
      <w:proofErr w:type="spellEnd"/>
      <w:r w:rsidRPr="00285B50">
        <w:t xml:space="preserve"> </w:t>
      </w:r>
      <w:r>
        <w:t>a</w:t>
      </w:r>
      <w:r w:rsidRPr="00285B50">
        <w:t xml:space="preserve"> généré </w:t>
      </w:r>
      <w:r w:rsidR="00A257DF">
        <w:t xml:space="preserve">en moyenne </w:t>
      </w:r>
      <w:r w:rsidRPr="00285B50">
        <w:t xml:space="preserve">un EBITDA ajusté de </w:t>
      </w:r>
      <w:r w:rsidRPr="009142D7">
        <w:rPr>
          <w:b/>
        </w:rPr>
        <w:t>70</w:t>
      </w:r>
      <w:r>
        <w:rPr>
          <w:b/>
        </w:rPr>
        <w:t xml:space="preserve"> millions € </w:t>
      </w:r>
      <w:r w:rsidRPr="00285B50">
        <w:t>au cours des 4 derniers exercices (2018 à 2021)</w:t>
      </w:r>
      <w:r>
        <w:t> ;</w:t>
      </w:r>
    </w:p>
    <w:p w14:paraId="10412E97" w14:textId="77777777" w:rsidR="00745F9C" w:rsidRPr="00285B50" w:rsidRDefault="00745F9C" w:rsidP="00745F9C">
      <w:pPr>
        <w:jc w:val="both"/>
      </w:pPr>
    </w:p>
    <w:p w14:paraId="2FA511E6" w14:textId="46AFD1DF" w:rsidR="00745F9C" w:rsidRDefault="00745F9C" w:rsidP="00745F9C">
      <w:pPr>
        <w:jc w:val="both"/>
      </w:pPr>
      <w:r>
        <w:t>b)</w:t>
      </w:r>
      <w:r w:rsidRPr="00285B50">
        <w:t xml:space="preserve"> </w:t>
      </w:r>
      <w:r>
        <w:t>l</w:t>
      </w:r>
      <w:r w:rsidRPr="00285B50">
        <w:t xml:space="preserve">’activité Machines </w:t>
      </w:r>
      <w:r>
        <w:t>&amp;</w:t>
      </w:r>
      <w:r w:rsidRPr="00285B50">
        <w:t xml:space="preserve"> Technologies de</w:t>
      </w:r>
      <w:r>
        <w:t xml:space="preserve"> </w:t>
      </w:r>
      <w:proofErr w:type="spellStart"/>
      <w:r>
        <w:t>Picanol</w:t>
      </w:r>
      <w:proofErr w:type="spellEnd"/>
      <w:r>
        <w:t xml:space="preserve"> (hors titres </w:t>
      </w:r>
      <w:proofErr w:type="spellStart"/>
      <w:r>
        <w:t>Rieter</w:t>
      </w:r>
      <w:proofErr w:type="spellEnd"/>
      <w:r>
        <w:t xml:space="preserve"> Holding</w:t>
      </w:r>
      <w:r w:rsidR="0084681A">
        <w:t xml:space="preserve"> valorisés à 89,8 millions €</w:t>
      </w:r>
      <w:r>
        <w:t xml:space="preserve"> </w:t>
      </w:r>
      <w:r w:rsidR="005837D4">
        <w:t xml:space="preserve">et </w:t>
      </w:r>
      <w:r>
        <w:t>qui ne contribuent pas à l’EBITDA</w:t>
      </w:r>
      <w:r w:rsidR="0084681A">
        <w:t>)</w:t>
      </w:r>
      <w:r>
        <w:t xml:space="preserve"> a été valorisée à </w:t>
      </w:r>
      <w:r w:rsidRPr="009142D7">
        <w:rPr>
          <w:b/>
        </w:rPr>
        <w:t>10,</w:t>
      </w:r>
      <w:r w:rsidR="00C016C0">
        <w:rPr>
          <w:b/>
        </w:rPr>
        <w:t>6</w:t>
      </w:r>
      <w:r>
        <w:t xml:space="preserve"> fois l’EBITDA ajusté moyen des 4 derniers exercices (830,6 </w:t>
      </w:r>
      <w:r w:rsidR="00F8619B">
        <w:t>-</w:t>
      </w:r>
      <w:r>
        <w:t xml:space="preserve"> 89,8) / 70 = 10,</w:t>
      </w:r>
      <w:r w:rsidR="00C016C0">
        <w:t>6</w:t>
      </w:r>
      <w:r>
        <w:t> ;</w:t>
      </w:r>
    </w:p>
    <w:p w14:paraId="6AAC837D" w14:textId="77777777" w:rsidR="00745F9C" w:rsidRDefault="00745F9C" w:rsidP="00745F9C">
      <w:pPr>
        <w:jc w:val="both"/>
      </w:pPr>
    </w:p>
    <w:p w14:paraId="773D3191" w14:textId="0EEDBE99" w:rsidR="00745F9C" w:rsidRDefault="00745F9C" w:rsidP="00745F9C">
      <w:pPr>
        <w:jc w:val="both"/>
      </w:pPr>
      <w:r>
        <w:t xml:space="preserve">c) les activités de Tessenderlo ont généré </w:t>
      </w:r>
      <w:r w:rsidR="00A257DF">
        <w:t xml:space="preserve">en moyenne </w:t>
      </w:r>
      <w:r>
        <w:t xml:space="preserve">un EBITDA ajusté de 270 millions € au cours des 4 derniers exercices (2018 à 2021). Au regard de leur dynamique de croissance, ces activités doivent </w:t>
      </w:r>
      <w:r w:rsidRPr="00FE001F">
        <w:rPr>
          <w:u w:val="single"/>
        </w:rPr>
        <w:t>a minima</w:t>
      </w:r>
      <w:r>
        <w:t xml:space="preserve"> être valorisées sur la base du multiple retenu pour valoriser les activités Machines &amp; Technologies ;</w:t>
      </w:r>
    </w:p>
    <w:p w14:paraId="01A37BBE" w14:textId="77777777" w:rsidR="00745F9C" w:rsidRDefault="00745F9C" w:rsidP="00745F9C">
      <w:pPr>
        <w:jc w:val="both"/>
      </w:pPr>
    </w:p>
    <w:p w14:paraId="77CEE96F" w14:textId="35DDF585" w:rsidR="00745F9C" w:rsidRDefault="00745F9C" w:rsidP="00745F9C">
      <w:pPr>
        <w:jc w:val="both"/>
      </w:pPr>
      <w:r>
        <w:t xml:space="preserve">d) </w:t>
      </w:r>
      <w:r w:rsidR="00C016C0">
        <w:t>compte tenu d’une dette nette de 48,5 millions € au 30 juin 2022, i</w:t>
      </w:r>
      <w:r>
        <w:t xml:space="preserve">l en ressort une juste valeur pour les activités de Tessenderlo de </w:t>
      </w:r>
      <w:r w:rsidRPr="009142D7">
        <w:rPr>
          <w:b/>
        </w:rPr>
        <w:t>2</w:t>
      </w:r>
      <w:r>
        <w:rPr>
          <w:b/>
        </w:rPr>
        <w:t> </w:t>
      </w:r>
      <w:r w:rsidR="00C016C0">
        <w:rPr>
          <w:b/>
        </w:rPr>
        <w:t>819</w:t>
      </w:r>
      <w:r>
        <w:rPr>
          <w:b/>
        </w:rPr>
        <w:t xml:space="preserve"> millions € </w:t>
      </w:r>
      <w:r w:rsidR="0084681A" w:rsidRPr="0084681A">
        <w:t>(</w:t>
      </w:r>
      <w:r>
        <w:t>(10,</w:t>
      </w:r>
      <w:r w:rsidR="00C016C0">
        <w:t>6</w:t>
      </w:r>
      <w:r>
        <w:t xml:space="preserve"> x 270</w:t>
      </w:r>
      <w:r w:rsidR="0084681A">
        <w:t>) – 48,5</w:t>
      </w:r>
      <w:r>
        <w:t xml:space="preserve">), soit </w:t>
      </w:r>
      <w:r w:rsidRPr="009142D7">
        <w:rPr>
          <w:b/>
        </w:rPr>
        <w:t>6</w:t>
      </w:r>
      <w:r w:rsidR="00C016C0">
        <w:rPr>
          <w:b/>
        </w:rPr>
        <w:t>5</w:t>
      </w:r>
      <w:r w:rsidRPr="009142D7">
        <w:rPr>
          <w:b/>
        </w:rPr>
        <w:t>,</w:t>
      </w:r>
      <w:r w:rsidR="00C016C0">
        <w:rPr>
          <w:b/>
        </w:rPr>
        <w:t>31</w:t>
      </w:r>
      <w:r w:rsidR="009B7940">
        <w:rPr>
          <w:b/>
        </w:rPr>
        <w:t> </w:t>
      </w:r>
      <w:r w:rsidRPr="009142D7">
        <w:rPr>
          <w:b/>
        </w:rPr>
        <w:t>EUR</w:t>
      </w:r>
      <w:r>
        <w:t xml:space="preserve"> par action ;</w:t>
      </w:r>
    </w:p>
    <w:p w14:paraId="57DE371E" w14:textId="77777777" w:rsidR="00745F9C" w:rsidRDefault="00745F9C" w:rsidP="00745F9C">
      <w:pPr>
        <w:jc w:val="both"/>
      </w:pPr>
    </w:p>
    <w:p w14:paraId="02F55F95" w14:textId="5678E4B0" w:rsidR="00745F9C" w:rsidRDefault="00C016C0" w:rsidP="00745F9C">
      <w:pPr>
        <w:jc w:val="both"/>
      </w:pPr>
      <w:r>
        <w:t>e) c</w:t>
      </w:r>
      <w:r w:rsidR="00745F9C">
        <w:t xml:space="preserve">ompte tenu de la participation de </w:t>
      </w:r>
      <w:proofErr w:type="spellStart"/>
      <w:r w:rsidR="00745F9C">
        <w:t>Picanol</w:t>
      </w:r>
      <w:proofErr w:type="spellEnd"/>
      <w:r w:rsidR="00745F9C">
        <w:t xml:space="preserve"> dans Tessenderlo à hauteur de 50,65%, il résulte une valeur pour l’ensemble d</w:t>
      </w:r>
      <w:r w:rsidR="001C118C">
        <w:t xml:space="preserve">u périmètre </w:t>
      </w:r>
      <w:bookmarkStart w:id="0" w:name="_GoBack"/>
      <w:bookmarkEnd w:id="0"/>
      <w:r w:rsidR="00745F9C">
        <w:t xml:space="preserve">de </w:t>
      </w:r>
      <w:proofErr w:type="spellStart"/>
      <w:r w:rsidR="00745F9C">
        <w:t>Picanol</w:t>
      </w:r>
      <w:proofErr w:type="spellEnd"/>
      <w:r w:rsidR="00745F9C">
        <w:t xml:space="preserve"> de </w:t>
      </w:r>
      <w:r w:rsidR="00745F9C" w:rsidRPr="00FE001F">
        <w:rPr>
          <w:b/>
        </w:rPr>
        <w:t>2</w:t>
      </w:r>
      <w:r w:rsidR="00745F9C">
        <w:rPr>
          <w:b/>
        </w:rPr>
        <w:t> </w:t>
      </w:r>
      <w:r>
        <w:rPr>
          <w:b/>
        </w:rPr>
        <w:t>258</w:t>
      </w:r>
      <w:r w:rsidR="00745F9C">
        <w:rPr>
          <w:b/>
        </w:rPr>
        <w:t> </w:t>
      </w:r>
      <w:r w:rsidR="00745F9C" w:rsidRPr="00FE001F">
        <w:rPr>
          <w:b/>
        </w:rPr>
        <w:t>millions €</w:t>
      </w:r>
      <w:r w:rsidR="00745F9C">
        <w:t xml:space="preserve"> (</w:t>
      </w:r>
      <w:r w:rsidR="00F8619B">
        <w:t xml:space="preserve">= </w:t>
      </w:r>
      <w:r w:rsidR="00745F9C">
        <w:t>830,6 + (</w:t>
      </w:r>
      <w:r w:rsidR="00BE1773">
        <w:t xml:space="preserve">2 </w:t>
      </w:r>
      <w:r>
        <w:t>819</w:t>
      </w:r>
      <w:r w:rsidR="00745F9C">
        <w:t xml:space="preserve"> x 50,65%)) soit </w:t>
      </w:r>
      <w:r w:rsidR="00745F9C" w:rsidRPr="00FE001F">
        <w:rPr>
          <w:b/>
        </w:rPr>
        <w:t>1</w:t>
      </w:r>
      <w:r w:rsidR="00BE1773">
        <w:rPr>
          <w:b/>
        </w:rPr>
        <w:t>2</w:t>
      </w:r>
      <w:r>
        <w:rPr>
          <w:b/>
        </w:rPr>
        <w:t>7</w:t>
      </w:r>
      <w:r w:rsidR="00745F9C" w:rsidRPr="00FE001F">
        <w:rPr>
          <w:b/>
        </w:rPr>
        <w:t>,</w:t>
      </w:r>
      <w:r>
        <w:rPr>
          <w:b/>
        </w:rPr>
        <w:t>58</w:t>
      </w:r>
      <w:r w:rsidR="00745F9C" w:rsidRPr="00FE001F">
        <w:rPr>
          <w:b/>
        </w:rPr>
        <w:t xml:space="preserve"> €</w:t>
      </w:r>
      <w:r w:rsidR="00745F9C">
        <w:t xml:space="preserve"> par action ;</w:t>
      </w:r>
    </w:p>
    <w:p w14:paraId="1A6076E7" w14:textId="77777777" w:rsidR="00745F9C" w:rsidRDefault="00745F9C" w:rsidP="00745F9C">
      <w:pPr>
        <w:jc w:val="both"/>
      </w:pPr>
    </w:p>
    <w:p w14:paraId="01BE3000" w14:textId="3F7D998D" w:rsidR="00745F9C" w:rsidRDefault="00C016C0" w:rsidP="00745F9C">
      <w:pPr>
        <w:jc w:val="both"/>
      </w:pPr>
      <w:r>
        <w:t>f) a</w:t>
      </w:r>
      <w:r w:rsidR="00745F9C">
        <w:t>fin de faire ressortir la juste valeur des deux groupes</w:t>
      </w:r>
      <w:r w:rsidR="006B28D2">
        <w:t xml:space="preserve"> et de garantir une offre équitable à la fois </w:t>
      </w:r>
      <w:r w:rsidR="009B7940">
        <w:t xml:space="preserve">aux </w:t>
      </w:r>
      <w:r w:rsidR="006B28D2">
        <w:t xml:space="preserve">actionnaires de </w:t>
      </w:r>
      <w:proofErr w:type="spellStart"/>
      <w:r w:rsidR="006B28D2">
        <w:t>Picanol</w:t>
      </w:r>
      <w:proofErr w:type="spellEnd"/>
      <w:r w:rsidR="006B28D2">
        <w:t xml:space="preserve"> et </w:t>
      </w:r>
      <w:r w:rsidR="009B7940">
        <w:t>à</w:t>
      </w:r>
      <w:r w:rsidR="006B28D2">
        <w:t xml:space="preserve"> ceux de Tessenderlo</w:t>
      </w:r>
      <w:r w:rsidR="00745F9C">
        <w:t xml:space="preserve">, le ratio d’échange ne peut ainsi excéder </w:t>
      </w:r>
      <w:r w:rsidR="00745F9C" w:rsidRPr="00FE001F">
        <w:rPr>
          <w:b/>
        </w:rPr>
        <w:t>1,9</w:t>
      </w:r>
      <w:r>
        <w:rPr>
          <w:b/>
        </w:rPr>
        <w:t>5</w:t>
      </w:r>
      <w:r w:rsidR="00745F9C">
        <w:t xml:space="preserve"> (1</w:t>
      </w:r>
      <w:r w:rsidR="00BE1773">
        <w:t>2</w:t>
      </w:r>
      <w:r>
        <w:t>7</w:t>
      </w:r>
      <w:r w:rsidR="00BE1773">
        <w:t>,</w:t>
      </w:r>
      <w:r>
        <w:t>58</w:t>
      </w:r>
      <w:r w:rsidR="00745F9C">
        <w:t xml:space="preserve"> / 6</w:t>
      </w:r>
      <w:r>
        <w:t>5</w:t>
      </w:r>
      <w:r w:rsidR="00745F9C">
        <w:t>,</w:t>
      </w:r>
      <w:r w:rsidR="001C118C">
        <w:t>3</w:t>
      </w:r>
      <w:r>
        <w:t>1</w:t>
      </w:r>
      <w:r w:rsidR="00745F9C">
        <w:t>)</w:t>
      </w:r>
      <w:r>
        <w:t xml:space="preserve">. </w:t>
      </w:r>
    </w:p>
    <w:p w14:paraId="78441D54" w14:textId="77777777" w:rsidR="00021096" w:rsidRDefault="00021096" w:rsidP="00745F9C">
      <w:pPr>
        <w:jc w:val="both"/>
      </w:pPr>
    </w:p>
    <w:p w14:paraId="68261B99" w14:textId="76F38500" w:rsidR="00021096" w:rsidRDefault="000564C6" w:rsidP="00745F9C">
      <w:pPr>
        <w:jc w:val="both"/>
      </w:pPr>
      <w:r>
        <w:t xml:space="preserve">Le ratio </w:t>
      </w:r>
      <w:r w:rsidR="006B28D2">
        <w:t xml:space="preserve">actuellement </w:t>
      </w:r>
      <w:r>
        <w:t xml:space="preserve">retenu dans le cadre de l’offre d’échange </w:t>
      </w:r>
      <w:r w:rsidRPr="000564C6">
        <w:t>(</w:t>
      </w:r>
      <w:r w:rsidRPr="000564C6">
        <w:rPr>
          <w:b/>
        </w:rPr>
        <w:t>2,36</w:t>
      </w:r>
      <w:r w:rsidRPr="000564C6">
        <w:t>)</w:t>
      </w:r>
      <w:r>
        <w:t xml:space="preserve"> est nettement supérieur à ce ratio de 1,95. </w:t>
      </w:r>
      <w:r w:rsidRPr="00A257DF">
        <w:rPr>
          <w:b/>
        </w:rPr>
        <w:t xml:space="preserve">Il </w:t>
      </w:r>
      <w:r w:rsidR="006B28D2" w:rsidRPr="00A257DF">
        <w:rPr>
          <w:b/>
        </w:rPr>
        <w:t>en résulte</w:t>
      </w:r>
      <w:r w:rsidRPr="00A257DF">
        <w:rPr>
          <w:b/>
        </w:rPr>
        <w:t xml:space="preserve"> une sous-valorisation de 38% </w:t>
      </w:r>
      <w:r w:rsidR="00155097">
        <w:rPr>
          <w:b/>
        </w:rPr>
        <w:t>des activités de</w:t>
      </w:r>
      <w:r w:rsidRPr="00A257DF">
        <w:rPr>
          <w:b/>
        </w:rPr>
        <w:t xml:space="preserve"> Tessenderlo</w:t>
      </w:r>
      <w:r w:rsidR="006B28D2" w:rsidRPr="00A257DF">
        <w:rPr>
          <w:b/>
        </w:rPr>
        <w:t> </w:t>
      </w:r>
      <w:r w:rsidRPr="00A257DF">
        <w:rPr>
          <w:b/>
        </w:rPr>
        <w:t xml:space="preserve"> (1</w:t>
      </w:r>
      <w:r w:rsidR="00A257DF">
        <w:rPr>
          <w:b/>
        </w:rPr>
        <w:t> </w:t>
      </w:r>
      <w:r w:rsidRPr="00A257DF">
        <w:rPr>
          <w:b/>
        </w:rPr>
        <w:t>751,5 / 2</w:t>
      </w:r>
      <w:r w:rsidR="006B641B">
        <w:rPr>
          <w:b/>
        </w:rPr>
        <w:t> </w:t>
      </w:r>
      <w:r w:rsidRPr="00A257DF">
        <w:rPr>
          <w:b/>
        </w:rPr>
        <w:t>819,0).</w:t>
      </w:r>
      <w:r>
        <w:t xml:space="preserve"> </w:t>
      </w:r>
    </w:p>
    <w:p w14:paraId="18FDA5B6" w14:textId="77777777" w:rsidR="003F2C21" w:rsidRDefault="003F2C21" w:rsidP="006576E1">
      <w:pPr>
        <w:jc w:val="both"/>
      </w:pPr>
    </w:p>
    <w:p w14:paraId="55CAE486" w14:textId="68921E1A" w:rsidR="000564C6" w:rsidRDefault="0080365E" w:rsidP="00C74F73">
      <w:pPr>
        <w:jc w:val="both"/>
      </w:pPr>
      <w:r>
        <w:t xml:space="preserve">En votre qualité d’autorité de contrôle des marchés financiers, </w:t>
      </w:r>
      <w:r w:rsidR="006B641B">
        <w:t xml:space="preserve">je vous </w:t>
      </w:r>
      <w:r>
        <w:t>demand</w:t>
      </w:r>
      <w:r w:rsidR="006B641B">
        <w:t>e</w:t>
      </w:r>
      <w:r>
        <w:t xml:space="preserve"> de bien vouloir veiller </w:t>
      </w:r>
      <w:r w:rsidR="00A15356">
        <w:t xml:space="preserve">à ce que des réponses soient apportées à </w:t>
      </w:r>
      <w:r w:rsidR="006B641B">
        <w:t>ces</w:t>
      </w:r>
      <w:r w:rsidR="00A15356">
        <w:t xml:space="preserve"> questions</w:t>
      </w:r>
      <w:r>
        <w:t xml:space="preserve"> </w:t>
      </w:r>
      <w:r w:rsidR="000564C6">
        <w:t xml:space="preserve">et </w:t>
      </w:r>
      <w:r w:rsidR="006B28D2">
        <w:t xml:space="preserve">à ce </w:t>
      </w:r>
      <w:r w:rsidR="000564C6">
        <w:t>que</w:t>
      </w:r>
      <w:r>
        <w:t xml:space="preserve"> l’égalité de traitement entre les actionnaires de Tessenderlo et ceux de </w:t>
      </w:r>
      <w:proofErr w:type="spellStart"/>
      <w:r>
        <w:t>Picanol</w:t>
      </w:r>
      <w:proofErr w:type="spellEnd"/>
      <w:r w:rsidR="006B28D2">
        <w:t> </w:t>
      </w:r>
      <w:r w:rsidR="000564C6">
        <w:t xml:space="preserve"> soit assuré</w:t>
      </w:r>
      <w:r w:rsidR="001C118C">
        <w:t>e</w:t>
      </w:r>
      <w:r w:rsidR="000564C6">
        <w:t xml:space="preserve">. </w:t>
      </w:r>
    </w:p>
    <w:p w14:paraId="63ADC55D" w14:textId="77777777" w:rsidR="000564C6" w:rsidRDefault="000564C6" w:rsidP="00C74F73">
      <w:pPr>
        <w:jc w:val="both"/>
      </w:pPr>
    </w:p>
    <w:p w14:paraId="1C797514" w14:textId="77777777" w:rsidR="00A15356" w:rsidRDefault="00A15356" w:rsidP="00C74F73">
      <w:pPr>
        <w:jc w:val="both"/>
      </w:pPr>
    </w:p>
    <w:p w14:paraId="7A8D3024" w14:textId="77777777" w:rsidR="006B28D2" w:rsidRDefault="006B28D2" w:rsidP="00C74F73">
      <w:pPr>
        <w:jc w:val="both"/>
      </w:pPr>
    </w:p>
    <w:p w14:paraId="157CD7E8" w14:textId="77777777" w:rsidR="00A15356" w:rsidRDefault="00A15356" w:rsidP="00A15356">
      <w:pPr>
        <w:tabs>
          <w:tab w:val="left" w:pos="1519"/>
        </w:tabs>
        <w:jc w:val="both"/>
      </w:pPr>
      <w:r>
        <w:t>Sincères salutations,</w:t>
      </w:r>
    </w:p>
    <w:p w14:paraId="71739873" w14:textId="77777777" w:rsidR="00A15356" w:rsidRDefault="00A15356" w:rsidP="00C74F73">
      <w:pPr>
        <w:jc w:val="both"/>
      </w:pPr>
    </w:p>
    <w:p w14:paraId="7AAC6451" w14:textId="77777777" w:rsidR="00A15356" w:rsidRDefault="00A15356" w:rsidP="00C74F73">
      <w:pPr>
        <w:jc w:val="both"/>
      </w:pPr>
    </w:p>
    <w:p w14:paraId="42917109" w14:textId="77777777" w:rsidR="00A15356" w:rsidRDefault="00A15356" w:rsidP="00C74F73">
      <w:pPr>
        <w:jc w:val="both"/>
      </w:pPr>
    </w:p>
    <w:p w14:paraId="60AA389D" w14:textId="77777777" w:rsidR="00A15356" w:rsidRDefault="00A15356" w:rsidP="00C74F73">
      <w:pPr>
        <w:jc w:val="both"/>
      </w:pPr>
    </w:p>
    <w:p w14:paraId="3A3831CB" w14:textId="77777777" w:rsidR="00A15356" w:rsidRDefault="00A15356" w:rsidP="00C74F73">
      <w:pPr>
        <w:jc w:val="both"/>
      </w:pPr>
    </w:p>
    <w:p w14:paraId="18DB07F3" w14:textId="77777777" w:rsidR="00A15356" w:rsidRDefault="00A15356" w:rsidP="00C74F73">
      <w:pPr>
        <w:jc w:val="both"/>
      </w:pPr>
    </w:p>
    <w:p w14:paraId="25CCA888" w14:textId="77777777" w:rsidR="00A15356" w:rsidRDefault="00A15356" w:rsidP="00C74F73">
      <w:pPr>
        <w:jc w:val="both"/>
      </w:pPr>
    </w:p>
    <w:p w14:paraId="7E474BBC" w14:textId="77777777" w:rsidR="00847400" w:rsidRPr="00DA63B1" w:rsidRDefault="00847400"/>
    <w:sectPr w:rsidR="00847400" w:rsidRPr="00DA63B1" w:rsidSect="00AE750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11C8" w14:textId="77777777" w:rsidR="0048432E" w:rsidRDefault="0048432E" w:rsidP="000F5FC9">
      <w:r>
        <w:separator/>
      </w:r>
    </w:p>
  </w:endnote>
  <w:endnote w:type="continuationSeparator" w:id="0">
    <w:p w14:paraId="6394D740" w14:textId="77777777" w:rsidR="0048432E" w:rsidRDefault="0048432E" w:rsidP="000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207689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924102" w14:textId="341A0F6F" w:rsidR="00F72045" w:rsidRDefault="00F72045" w:rsidP="00D905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9D60AB" w14:textId="77777777" w:rsidR="00F72045" w:rsidRDefault="00F72045" w:rsidP="00F720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461155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865184" w14:textId="6B978F09" w:rsidR="00F72045" w:rsidRDefault="00F72045" w:rsidP="00D905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55C6B1F" w14:textId="77777777" w:rsidR="00F72045" w:rsidRDefault="00F72045" w:rsidP="00F720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7A1F" w14:textId="77777777" w:rsidR="0048432E" w:rsidRDefault="0048432E" w:rsidP="000F5FC9">
      <w:r>
        <w:separator/>
      </w:r>
    </w:p>
  </w:footnote>
  <w:footnote w:type="continuationSeparator" w:id="0">
    <w:p w14:paraId="7FD84E51" w14:textId="77777777" w:rsidR="0048432E" w:rsidRDefault="0048432E" w:rsidP="000F5FC9">
      <w:r>
        <w:continuationSeparator/>
      </w:r>
    </w:p>
  </w:footnote>
  <w:footnote w:id="1">
    <w:p w14:paraId="3BD91F8F" w14:textId="77777777" w:rsidR="000A1DF4" w:rsidRDefault="000A1DF4" w:rsidP="000A1D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128A7">
          <w:rPr>
            <w:rStyle w:val="Lienhypertexte"/>
          </w:rPr>
          <w:t>https://www.tessenderlo.com/en/media/1175/download?attachment</w:t>
        </w:r>
      </w:hyperlink>
    </w:p>
  </w:footnote>
  <w:footnote w:id="2">
    <w:p w14:paraId="1D2ADA29" w14:textId="77777777" w:rsidR="00645ED7" w:rsidRDefault="00F8619B" w:rsidP="00645ED7">
      <w:pPr>
        <w:tabs>
          <w:tab w:val="left" w:pos="6467"/>
        </w:tabs>
        <w:jc w:val="both"/>
        <w:rPr>
          <w:sz w:val="21"/>
          <w:lang w:val="en-US"/>
        </w:rPr>
      </w:pPr>
      <w:r>
        <w:rPr>
          <w:rStyle w:val="Appelnotedebasdep"/>
        </w:rPr>
        <w:footnoteRef/>
      </w:r>
      <w:r w:rsidRPr="00F8619B">
        <w:rPr>
          <w:lang w:val="en-US"/>
        </w:rPr>
        <w:t xml:space="preserve"> </w:t>
      </w:r>
      <w:proofErr w:type="spellStart"/>
      <w:r w:rsidRPr="009638A0">
        <w:rPr>
          <w:sz w:val="21"/>
          <w:lang w:val="en-US"/>
        </w:rPr>
        <w:t>Tessenderlo</w:t>
      </w:r>
      <w:proofErr w:type="spellEnd"/>
      <w:r w:rsidRPr="009638A0">
        <w:rPr>
          <w:sz w:val="21"/>
          <w:lang w:val="en-US"/>
        </w:rPr>
        <w:t xml:space="preserve"> Group: Gas power plant update</w:t>
      </w:r>
      <w:r>
        <w:rPr>
          <w:sz w:val="21"/>
          <w:lang w:val="en-US"/>
        </w:rPr>
        <w:t xml:space="preserve">, </w:t>
      </w:r>
      <w:r w:rsidRPr="009638A0">
        <w:rPr>
          <w:sz w:val="21"/>
          <w:lang w:val="en-US"/>
        </w:rPr>
        <w:t xml:space="preserve">16 </w:t>
      </w:r>
      <w:proofErr w:type="spellStart"/>
      <w:r w:rsidRPr="009638A0">
        <w:rPr>
          <w:sz w:val="21"/>
          <w:lang w:val="en-US"/>
        </w:rPr>
        <w:t>septembre</w:t>
      </w:r>
      <w:proofErr w:type="spellEnd"/>
      <w:r w:rsidRPr="009638A0">
        <w:rPr>
          <w:sz w:val="21"/>
          <w:lang w:val="en-US"/>
        </w:rPr>
        <w:t xml:space="preserve"> </w:t>
      </w:r>
    </w:p>
    <w:p w14:paraId="51A9CD76" w14:textId="2C8E8F3D" w:rsidR="00F8619B" w:rsidRPr="00645ED7" w:rsidRDefault="009A620C" w:rsidP="00645ED7">
      <w:pPr>
        <w:tabs>
          <w:tab w:val="left" w:pos="6467"/>
        </w:tabs>
        <w:jc w:val="both"/>
        <w:rPr>
          <w:sz w:val="21"/>
          <w:lang w:val="en-US"/>
        </w:rPr>
      </w:pPr>
      <w:hyperlink r:id="rId2" w:history="1">
        <w:r w:rsidR="00645ED7" w:rsidRPr="009B23DA">
          <w:rPr>
            <w:rStyle w:val="Lienhypertexte"/>
            <w:sz w:val="20"/>
            <w:lang w:val="en-US"/>
          </w:rPr>
          <w:t>https://www.tessenderlo.com/en/investor-relations/press-releases/press-release-tessenderlo-group-gas-power-plant-update</w:t>
        </w:r>
      </w:hyperlink>
    </w:p>
  </w:footnote>
  <w:footnote w:id="3">
    <w:p w14:paraId="2097AB2E" w14:textId="21B6F66E" w:rsidR="00800FE2" w:rsidRDefault="00800FE2">
      <w:pPr>
        <w:pStyle w:val="Notedebasdepage"/>
      </w:pPr>
      <w:r>
        <w:rPr>
          <w:rStyle w:val="Appelnotedebasdep"/>
        </w:rPr>
        <w:footnoteRef/>
      </w:r>
      <w:r>
        <w:t xml:space="preserve"> L’</w:t>
      </w:r>
      <w:proofErr w:type="spellStart"/>
      <w:r>
        <w:t>Echo</w:t>
      </w:r>
      <w:proofErr w:type="spellEnd"/>
      <w:r>
        <w:t xml:space="preserve"> Belge - article du 25 août 2022 : </w:t>
      </w:r>
      <w:hyperlink r:id="rId3" w:history="1">
        <w:r w:rsidRPr="002128A7">
          <w:rPr>
            <w:rStyle w:val="Lienhypertexte"/>
          </w:rPr>
          <w:t>https://www.lecho.be/les-marches/actu/general/tessenderlo-se-prepare-a-recolter-une-nouvelle-annee-record/10409497.html</w:t>
        </w:r>
      </w:hyperlink>
    </w:p>
    <w:p w14:paraId="0318A87D" w14:textId="77777777" w:rsidR="00AC7C79" w:rsidRDefault="00AC7C79">
      <w:pPr>
        <w:pStyle w:val="Notedebasdepage"/>
      </w:pPr>
    </w:p>
  </w:footnote>
  <w:footnote w:id="4">
    <w:p w14:paraId="10699A4F" w14:textId="77777777" w:rsidR="0071106E" w:rsidRDefault="00800FE2">
      <w:pPr>
        <w:pStyle w:val="Notedebasdepage"/>
      </w:pPr>
      <w:r>
        <w:rPr>
          <w:rStyle w:val="Appelnotedebasdep"/>
        </w:rPr>
        <w:footnoteRef/>
      </w:r>
      <w:r>
        <w:t xml:space="preserve"> Communiqué de Tessenderlo </w:t>
      </w:r>
      <w:r w:rsidR="00AC7C79">
        <w:t xml:space="preserve">le 7 septembre 2022 : </w:t>
      </w:r>
    </w:p>
    <w:p w14:paraId="5DD20FA4" w14:textId="7045E82B" w:rsidR="0071106E" w:rsidRDefault="0048432E">
      <w:pPr>
        <w:pStyle w:val="Notedebasdepage"/>
      </w:pPr>
      <w:hyperlink r:id="rId4" w:history="1">
        <w:r w:rsidR="0071106E" w:rsidRPr="0071106E">
          <w:rPr>
            <w:rStyle w:val="Lienhypertexte"/>
          </w:rPr>
          <w:t>https://www.tessenderlo.com/en/transaction-tessenderlo-group-and-picanol-group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79E"/>
    <w:multiLevelType w:val="hybridMultilevel"/>
    <w:tmpl w:val="0994F6D2"/>
    <w:lvl w:ilvl="0" w:tplc="D2FE10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B9E"/>
    <w:multiLevelType w:val="hybridMultilevel"/>
    <w:tmpl w:val="F0707E04"/>
    <w:lvl w:ilvl="0" w:tplc="45B0075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E7B3C"/>
    <w:multiLevelType w:val="multilevel"/>
    <w:tmpl w:val="F92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B2CF2"/>
    <w:multiLevelType w:val="multilevel"/>
    <w:tmpl w:val="15D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603AD"/>
    <w:multiLevelType w:val="hybridMultilevel"/>
    <w:tmpl w:val="BB08C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A0C36"/>
    <w:multiLevelType w:val="multilevel"/>
    <w:tmpl w:val="5E46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13F75"/>
    <w:multiLevelType w:val="hybridMultilevel"/>
    <w:tmpl w:val="82F8F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00"/>
    <w:rsid w:val="00013411"/>
    <w:rsid w:val="00021096"/>
    <w:rsid w:val="000564C6"/>
    <w:rsid w:val="000676DF"/>
    <w:rsid w:val="0008403B"/>
    <w:rsid w:val="00085BBF"/>
    <w:rsid w:val="00090E0F"/>
    <w:rsid w:val="000A1DF4"/>
    <w:rsid w:val="000A3809"/>
    <w:rsid w:val="000F5FC9"/>
    <w:rsid w:val="0010553F"/>
    <w:rsid w:val="0012038D"/>
    <w:rsid w:val="001375E9"/>
    <w:rsid w:val="00155097"/>
    <w:rsid w:val="00163D5D"/>
    <w:rsid w:val="00192063"/>
    <w:rsid w:val="001C118C"/>
    <w:rsid w:val="001C3CF1"/>
    <w:rsid w:val="001D74B7"/>
    <w:rsid w:val="001D76F1"/>
    <w:rsid w:val="00211361"/>
    <w:rsid w:val="002172FC"/>
    <w:rsid w:val="00231F4D"/>
    <w:rsid w:val="00242DA1"/>
    <w:rsid w:val="00243D20"/>
    <w:rsid w:val="00263A37"/>
    <w:rsid w:val="00276E23"/>
    <w:rsid w:val="00285B50"/>
    <w:rsid w:val="002E45C9"/>
    <w:rsid w:val="002F5924"/>
    <w:rsid w:val="00347645"/>
    <w:rsid w:val="003615B2"/>
    <w:rsid w:val="003635B6"/>
    <w:rsid w:val="003F2C21"/>
    <w:rsid w:val="004428B2"/>
    <w:rsid w:val="00442960"/>
    <w:rsid w:val="00451BB8"/>
    <w:rsid w:val="00452848"/>
    <w:rsid w:val="00456D79"/>
    <w:rsid w:val="00466154"/>
    <w:rsid w:val="0048432E"/>
    <w:rsid w:val="004A0A2B"/>
    <w:rsid w:val="004C2BAF"/>
    <w:rsid w:val="00512949"/>
    <w:rsid w:val="00516F28"/>
    <w:rsid w:val="005354B3"/>
    <w:rsid w:val="00546D85"/>
    <w:rsid w:val="00562686"/>
    <w:rsid w:val="00573B74"/>
    <w:rsid w:val="005837D4"/>
    <w:rsid w:val="00591F63"/>
    <w:rsid w:val="00594676"/>
    <w:rsid w:val="005C52E0"/>
    <w:rsid w:val="005D757A"/>
    <w:rsid w:val="005E2530"/>
    <w:rsid w:val="00620084"/>
    <w:rsid w:val="0062708A"/>
    <w:rsid w:val="00645ED7"/>
    <w:rsid w:val="00654031"/>
    <w:rsid w:val="006576E1"/>
    <w:rsid w:val="006A40D6"/>
    <w:rsid w:val="006B28D2"/>
    <w:rsid w:val="006B641B"/>
    <w:rsid w:val="006C7E6F"/>
    <w:rsid w:val="006E138D"/>
    <w:rsid w:val="006F44F1"/>
    <w:rsid w:val="0071106E"/>
    <w:rsid w:val="00745F9C"/>
    <w:rsid w:val="0077393A"/>
    <w:rsid w:val="00775990"/>
    <w:rsid w:val="00787DD4"/>
    <w:rsid w:val="0079436B"/>
    <w:rsid w:val="00794D2E"/>
    <w:rsid w:val="007C01D6"/>
    <w:rsid w:val="007C772C"/>
    <w:rsid w:val="007D3D16"/>
    <w:rsid w:val="00800FE2"/>
    <w:rsid w:val="0080365E"/>
    <w:rsid w:val="00810A28"/>
    <w:rsid w:val="00827881"/>
    <w:rsid w:val="00834475"/>
    <w:rsid w:val="0084681A"/>
    <w:rsid w:val="00847400"/>
    <w:rsid w:val="00894C05"/>
    <w:rsid w:val="008B241E"/>
    <w:rsid w:val="008B451D"/>
    <w:rsid w:val="008D626D"/>
    <w:rsid w:val="008D6375"/>
    <w:rsid w:val="009132F1"/>
    <w:rsid w:val="009142D7"/>
    <w:rsid w:val="0092583E"/>
    <w:rsid w:val="009638A0"/>
    <w:rsid w:val="009A3A3D"/>
    <w:rsid w:val="009A620C"/>
    <w:rsid w:val="009B0BF6"/>
    <w:rsid w:val="009B7940"/>
    <w:rsid w:val="009F3DBD"/>
    <w:rsid w:val="00A15356"/>
    <w:rsid w:val="00A257DF"/>
    <w:rsid w:val="00A3596D"/>
    <w:rsid w:val="00A50152"/>
    <w:rsid w:val="00A64E75"/>
    <w:rsid w:val="00AC7C79"/>
    <w:rsid w:val="00AE7502"/>
    <w:rsid w:val="00B00B79"/>
    <w:rsid w:val="00B1174F"/>
    <w:rsid w:val="00B20E3E"/>
    <w:rsid w:val="00B20E81"/>
    <w:rsid w:val="00BB1D71"/>
    <w:rsid w:val="00BE1773"/>
    <w:rsid w:val="00C016C0"/>
    <w:rsid w:val="00C04E91"/>
    <w:rsid w:val="00C05C6C"/>
    <w:rsid w:val="00C06971"/>
    <w:rsid w:val="00C12405"/>
    <w:rsid w:val="00C16847"/>
    <w:rsid w:val="00C326F0"/>
    <w:rsid w:val="00C368BA"/>
    <w:rsid w:val="00C71077"/>
    <w:rsid w:val="00C74F73"/>
    <w:rsid w:val="00C83B42"/>
    <w:rsid w:val="00CB31F6"/>
    <w:rsid w:val="00D00D92"/>
    <w:rsid w:val="00D11EE8"/>
    <w:rsid w:val="00D42FD5"/>
    <w:rsid w:val="00D50786"/>
    <w:rsid w:val="00DA4BEB"/>
    <w:rsid w:val="00DA4F9A"/>
    <w:rsid w:val="00DA63B1"/>
    <w:rsid w:val="00DB7056"/>
    <w:rsid w:val="00DC3610"/>
    <w:rsid w:val="00DC6D49"/>
    <w:rsid w:val="00DD0130"/>
    <w:rsid w:val="00DE23EF"/>
    <w:rsid w:val="00DE2953"/>
    <w:rsid w:val="00E42BA1"/>
    <w:rsid w:val="00F001AD"/>
    <w:rsid w:val="00F005BD"/>
    <w:rsid w:val="00F26B6F"/>
    <w:rsid w:val="00F714E3"/>
    <w:rsid w:val="00F72045"/>
    <w:rsid w:val="00F75BF7"/>
    <w:rsid w:val="00F804F5"/>
    <w:rsid w:val="00F8619B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FAC9"/>
  <w15:chartTrackingRefBased/>
  <w15:docId w15:val="{3682B258-B2D0-CD4A-BFE9-E23DD4DC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9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638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38A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5F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5F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5FC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1106E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720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2045"/>
  </w:style>
  <w:style w:type="character" w:styleId="Numrodepage">
    <w:name w:val="page number"/>
    <w:basedOn w:val="Policepardfaut"/>
    <w:uiPriority w:val="99"/>
    <w:semiHidden/>
    <w:unhideWhenUsed/>
    <w:rsid w:val="00F7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cho.be/les-marches/actu/general/tessenderlo-se-prepare-a-recolter-une-nouvelle-annee-record/10409497.html" TargetMode="External"/><Relationship Id="rId2" Type="http://schemas.openxmlformats.org/officeDocument/2006/relationships/hyperlink" Target="https://www.tessenderlo.com/en/investor-relations/press-releases/press-release-tessenderlo-group-gas-power-plant-update" TargetMode="External"/><Relationship Id="rId1" Type="http://schemas.openxmlformats.org/officeDocument/2006/relationships/hyperlink" Target="https://www.tessenderlo.com/en/media/1175/download?attachment" TargetMode="External"/><Relationship Id="rId4" Type="http://schemas.openxmlformats.org/officeDocument/2006/relationships/hyperlink" Target="https://www.tessenderlo.com/en/transaction-tessenderlo-group-and-picanol-grou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6889-49E9-1649-A882-6BB89838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abidik1@hotmail.fr</dc:creator>
  <cp:keywords/>
  <dc:description/>
  <cp:lastModifiedBy>abidik1@hotmail.fr</cp:lastModifiedBy>
  <cp:revision>13</cp:revision>
  <dcterms:created xsi:type="dcterms:W3CDTF">2022-09-22T05:49:00Z</dcterms:created>
  <dcterms:modified xsi:type="dcterms:W3CDTF">2022-09-24T08:59:00Z</dcterms:modified>
</cp:coreProperties>
</file>